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  <w:lang w:val="en-US" w:eastAsia="zh-CN"/>
        </w:rPr>
        <w:t>保定</w:t>
      </w:r>
      <w:r>
        <w:rPr>
          <w:rFonts w:hint="eastAsia" w:ascii="黑体" w:hAnsi="宋体" w:eastAsia="黑体"/>
          <w:b/>
          <w:sz w:val="52"/>
          <w:lang w:eastAsia="zh-CN"/>
        </w:rPr>
        <w:t>市污染源执法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年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4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</w:rPr>
      </w:pPr>
      <w:r>
        <w:rPr>
          <w:rFonts w:hint="eastAsia" w:ascii="黑体" w:hAnsi="宋体" w:eastAsia="黑体"/>
          <w:b w:val="0"/>
          <w:bCs w:val="0"/>
          <w:sz w:val="32"/>
        </w:rPr>
        <w:t xml:space="preserve">   20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22</w:t>
      </w:r>
      <w:r>
        <w:rPr>
          <w:rFonts w:hint="eastAsia" w:ascii="黑体" w:hAnsi="宋体" w:eastAsia="黑体"/>
          <w:b w:val="0"/>
          <w:bCs w:val="0"/>
          <w:sz w:val="32"/>
        </w:rPr>
        <w:t>年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1</w:t>
      </w:r>
      <w:r>
        <w:rPr>
          <w:rFonts w:hint="eastAsia" w:ascii="黑体" w:hAnsi="宋体" w:eastAsia="黑体"/>
          <w:b w:val="0"/>
          <w:bCs w:val="0"/>
          <w:sz w:val="32"/>
        </w:rPr>
        <w:t>月</w:t>
      </w:r>
    </w:p>
    <w:p>
      <w:pPr>
        <w:pStyle w:val="4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保定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市环境监控中心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编制单位：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bCs w:val="0"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eastAsia="zh-CN"/>
        </w:rPr>
        <w:t>概况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全市已核发排污许可证的企业共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3451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年开展执法监测的企业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486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%，</w:t>
      </w:r>
      <w:r>
        <w:rPr>
          <w:rFonts w:hint="eastAsia" w:ascii="仿宋_GB2312" w:hAnsi="宋体" w:eastAsia="仿宋_GB2312"/>
          <w:sz w:val="28"/>
          <w:lang w:val="en-US" w:eastAsia="zh-CN"/>
        </w:rPr>
        <w:t>涉及</w:t>
      </w:r>
      <w:r>
        <w:rPr>
          <w:rFonts w:hint="eastAsia" w:eastAsia="仿宋_GB2312"/>
          <w:sz w:val="28"/>
          <w:szCs w:val="28"/>
          <w:lang w:val="en-US" w:eastAsia="zh-CN"/>
        </w:rPr>
        <w:t>184</w:t>
      </w:r>
      <w:r>
        <w:rPr>
          <w:rFonts w:hint="eastAsia" w:ascii="仿宋_GB2312" w:hAnsi="宋体" w:eastAsia="仿宋_GB2312"/>
          <w:sz w:val="28"/>
          <w:lang w:val="en-US" w:eastAsia="zh-CN"/>
        </w:rPr>
        <w:t>个行业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129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涉废气VOCs排放企业，占2021年监测总家数的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%，</w:t>
      </w:r>
      <w:r>
        <w:rPr>
          <w:rFonts w:hint="eastAsia" w:ascii="仿宋_GB2312" w:hAnsi="宋体" w:eastAsia="仿宋_GB2312"/>
          <w:sz w:val="28"/>
          <w:lang w:val="en-US" w:eastAsia="zh-CN"/>
        </w:rPr>
        <w:t>涉及</w:t>
      </w:r>
      <w:r>
        <w:rPr>
          <w:rFonts w:hint="eastAsia" w:eastAsia="仿宋_GB2312"/>
          <w:sz w:val="28"/>
          <w:szCs w:val="28"/>
          <w:lang w:val="en-US" w:eastAsia="zh-CN"/>
        </w:rPr>
        <w:t>74</w:t>
      </w:r>
      <w:r>
        <w:rPr>
          <w:rFonts w:hint="eastAsia" w:ascii="仿宋_GB2312" w:hAnsi="宋体" w:eastAsia="仿宋_GB2312"/>
          <w:sz w:val="28"/>
          <w:lang w:val="en-US" w:eastAsia="zh-CN"/>
        </w:rPr>
        <w:t>个行业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。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其中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222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233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污水处理厂共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无组织排放的发证企业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164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土壤排放的发证企业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78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噪声排放的发证企业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%。</w:t>
      </w:r>
    </w:p>
    <w:p>
      <w:pPr>
        <w:ind w:firstLine="645"/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本市共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列入评估监测计划的钢铁企业有组织排放源，对其中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开展了复查抽测，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达标率为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%；本市共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执行新标准的水泥企业的有组织排放源，对其中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开展了监测，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达标率为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%；本市共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38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执行新标准的35吨以上燃煤锅炉及20吨以上的燃气、燃油、燃生物质锅炉，对其中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家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,开展了抽测,抽测比列为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50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%，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达标率为</w:t>
      </w:r>
      <w:r>
        <w:rPr>
          <w:rFonts w:hint="eastAsia" w:eastAsia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color w:val="auto"/>
          <w:sz w:val="28"/>
          <w:highlight w:val="none"/>
          <w:lang w:val="en-US" w:eastAsia="zh-CN"/>
        </w:rPr>
        <w:t>%。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  <w:t>（除污水处理厂）排放情况</w:t>
      </w:r>
    </w:p>
    <w:p>
      <w:pPr>
        <w:rPr>
          <w:rFonts w:hint="default" w:ascii="仿宋_GB2312" w:hAnsi="宋体" w:eastAsia="仿宋_GB2312"/>
          <w:b/>
          <w:bCs w:val="0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highlight w:val="none"/>
          <w:lang w:val="en-US" w:eastAsia="zh-CN"/>
        </w:rPr>
        <w:t>2.1 县（区）废水排放情况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22个县（区）均开展了废水监测，共监测222家废水（除污水处理厂）排放企业，0家超标，超标率为0%。</w:t>
      </w:r>
    </w:p>
    <w:p>
      <w:pPr>
        <w:ind w:firstLine="645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从地区监测情况来看，0个地区存在超标。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2.2 废水污染物排放情况</w:t>
      </w:r>
    </w:p>
    <w:p>
      <w:pPr>
        <w:ind w:firstLine="645"/>
        <w:rPr>
          <w:rFonts w:hint="default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全市共监测废水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（除污水处理厂）排放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污染物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38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项，超标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项；监测企业数为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222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家，超标企业数为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家。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2.3 废水排放行业分布情况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（除污水处理厂）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监测共涉及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99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个行业，集中分布在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肉制品及副产品加工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机制纸及纸板制造、综合医院、牲畜屠宰、金属表面处理及热处理加工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棉印染精加工、中成药生产等7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个行业，占比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7%。0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个行业存在超标。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</w:rPr>
        <w:t>废</w:t>
      </w: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  <w:t>气排放情况</w:t>
      </w:r>
    </w:p>
    <w:p>
      <w:pPr>
        <w:rPr>
          <w:rFonts w:hint="default" w:ascii="仿宋_GB2312" w:hAnsi="宋体" w:eastAsia="仿宋_GB2312"/>
          <w:b/>
          <w:bCs w:val="0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highlight w:val="none"/>
          <w:lang w:val="en-US" w:eastAsia="zh-CN"/>
        </w:rPr>
        <w:t>3.1 县（区）废气排放情况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除阜平县和白沟新城外，其他20个县（区）均开展了废气监测，共监测257家废气排放企业，0家超标。</w:t>
      </w:r>
    </w:p>
    <w:p>
      <w:pPr>
        <w:ind w:firstLine="645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从地区监测情况来看，0个地区存在超标。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3.2 废气污染物排放情况</w:t>
      </w:r>
    </w:p>
    <w:p>
      <w:pPr>
        <w:ind w:firstLine="645"/>
        <w:rPr>
          <w:rFonts w:hint="default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全市共监测废气排放污染物51项，超标0项；监测企业数为257家，超标企业数为0家。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3.3 废气排放行业分布情况</w:t>
      </w:r>
    </w:p>
    <w:p>
      <w:pPr>
        <w:ind w:firstLine="56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废气监测共涉及128个行业，集中分布在热力生产和供应、机动车燃油零售、</w:t>
      </w:r>
      <w:r>
        <w:rPr>
          <w:rFonts w:hint="default" w:ascii="仿宋_GB2312" w:hAnsi="宋体" w:eastAsia="仿宋_GB2312"/>
          <w:b w:val="0"/>
          <w:bCs/>
          <w:sz w:val="28"/>
          <w:highlight w:val="none"/>
          <w:lang w:val="en-US" w:eastAsia="zh-CN"/>
        </w:rPr>
        <w:t>包装装潢及其他印刷</w:t>
      </w:r>
      <w:r>
        <w:rPr>
          <w:rFonts w:hint="eastAsia" w:ascii="Arial" w:hAnsi="Arial"/>
          <w:color w:val="000000"/>
          <w:sz w:val="20"/>
          <w:szCs w:val="24"/>
          <w:lang w:eastAsia="zh-CN"/>
        </w:rPr>
        <w:t>、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汽车零部件及配件制造、水泥制造、黑色金属制造、塑料零件及其他塑料制品制造、铅蓄电池制造、</w:t>
      </w:r>
      <w:r>
        <w:rPr>
          <w:rFonts w:hint="default" w:ascii="仿宋_GB2312" w:hAnsi="宋体" w:eastAsia="仿宋_GB2312"/>
          <w:b w:val="0"/>
          <w:bCs/>
          <w:sz w:val="28"/>
          <w:highlight w:val="none"/>
          <w:lang w:val="en-US" w:eastAsia="zh-CN"/>
        </w:rPr>
        <w:t>纸和纸板容器制造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等9个行业，占比7%。0个行业存在超标。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  <w:t>污水处理厂排放情况</w:t>
      </w:r>
    </w:p>
    <w:p>
      <w:pPr>
        <w:rPr>
          <w:rFonts w:hint="default" w:ascii="仿宋_GB2312" w:hAnsi="宋体" w:eastAsia="仿宋_GB2312"/>
          <w:b/>
          <w:bCs w:val="0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highlight w:val="none"/>
          <w:lang w:val="en-US" w:eastAsia="zh-CN"/>
        </w:rPr>
        <w:t>4.1 县（区）污水处理厂排放情况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除高新区外，其他21个县（市、区）均开展了污水处理厂监测，共监测41家污水处理厂排放企业，0家超标。</w:t>
      </w:r>
    </w:p>
    <w:p>
      <w:pPr>
        <w:ind w:firstLine="645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从地区监测情况来看，0个地区存在超标。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4.2 污水处理厂污染物排放情况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default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全市共监测污水处理厂排放污染物19项，超标0项；监测企业数为41家，超标企业数为0家。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  <w:t>土壤排放情况</w:t>
      </w:r>
    </w:p>
    <w:p>
      <w:pPr>
        <w:rPr>
          <w:rFonts w:hint="default" w:ascii="仿宋_GB2312" w:hAnsi="宋体" w:eastAsia="仿宋_GB2312"/>
          <w:b/>
          <w:bCs w:val="0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highlight w:val="none"/>
          <w:lang w:val="en-US" w:eastAsia="zh-CN"/>
        </w:rPr>
        <w:t>5.1 县（区）土壤排放情况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除博野县、涞源县、望都县、阜平县外，其他18个县（市、区）均开展了土壤监测，共监测78家土壤排放企业，0家超标。</w:t>
      </w:r>
    </w:p>
    <w:p>
      <w:pPr>
        <w:ind w:firstLine="645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从地区监测情况来看，0个地区存在超标。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5.2 土壤污染物排放情况</w:t>
      </w:r>
    </w:p>
    <w:p>
      <w:pPr>
        <w:ind w:firstLine="645"/>
        <w:rPr>
          <w:rFonts w:hint="default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全市共监测土壤排放污染物89项，超标0项；监测企业数为78家，超标企业数为0家。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5.3 土壤排放行业分布情况</w:t>
      </w:r>
    </w:p>
    <w:p>
      <w:pPr>
        <w:numPr>
          <w:ilvl w:val="0"/>
          <w:numId w:val="0"/>
        </w:numPr>
        <w:ind w:firstLine="56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土壤监测共涉及43个行业，集中分布在金属表面处理及热处理加工、危险废物治理、铅蓄电池制造、环境卫生管理、污水处理及其再生利用等5个行业，占比12%。0个行业存在超标。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  <w:t>噪声排放情况</w:t>
      </w:r>
    </w:p>
    <w:p>
      <w:pPr>
        <w:rPr>
          <w:rFonts w:hint="default" w:ascii="仿宋_GB2312" w:hAnsi="宋体" w:eastAsia="仿宋_GB2312"/>
          <w:b/>
          <w:bCs w:val="0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highlight w:val="none"/>
          <w:lang w:val="en-US" w:eastAsia="zh-CN"/>
        </w:rPr>
        <w:t>6.1 县（区）噪声排放情况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安国市、高碑店市、莲池区、唐县、望都县、涿州市6个县（市、区）开展了噪声监测，共监测32家噪声排放企业。</w:t>
      </w:r>
    </w:p>
    <w:p>
      <w:pPr>
        <w:ind w:firstLine="645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从地区监测情况来看，0个地区存在超标。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6.2 噪声污染物排放情况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default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全市共监测噪声排放污染物1项，超标0项；监测企业数为32家，超标企业数为0家。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z w:val="28"/>
          <w:szCs w:val="28"/>
          <w:highlight w:val="none"/>
          <w:lang w:val="en-US" w:eastAsia="zh-CN"/>
        </w:rPr>
        <w:t>6.3 噪声排放行业分布情况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噪声监测共涉及26个行业，集中分布在中成药生产、黑色金属制造、机动车燃油零售、</w:t>
      </w:r>
      <w:r>
        <w:rPr>
          <w:rFonts w:hint="default" w:ascii="仿宋_GB2312" w:hAnsi="宋体" w:eastAsia="仿宋_GB2312"/>
          <w:b w:val="0"/>
          <w:bCs/>
          <w:sz w:val="28"/>
          <w:highlight w:val="none"/>
          <w:lang w:val="en-US" w:eastAsia="zh-CN"/>
        </w:rPr>
        <w:t>肉制品及副产品加工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等4个行业，占比15%。0个行业存在超标。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复测排污单位情况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2021年复测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  <w:t>问题与建议</w:t>
      </w:r>
    </w:p>
    <w:p>
      <w:pPr>
        <w:numPr>
          <w:ilvl w:val="0"/>
          <w:numId w:val="0"/>
        </w:numPr>
        <w:ind w:leftChars="0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  <w:t>8.1 执法监测存在主要问题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数据报送不及时。</w:t>
      </w:r>
    </w:p>
    <w:p>
      <w:pPr>
        <w:numPr>
          <w:ilvl w:val="0"/>
          <w:numId w:val="0"/>
        </w:numPr>
        <w:ind w:leftChars="0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  <w:t>8.2 执法监测发现的污染源排放及监管问题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无。</w:t>
      </w:r>
    </w:p>
    <w:p>
      <w:pPr>
        <w:numPr>
          <w:ilvl w:val="0"/>
          <w:numId w:val="0"/>
        </w:numPr>
        <w:ind w:leftChars="0"/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  <w:t>8.3 针对存在问题提出针对性意见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仿宋_GB2312" w:hAnsi="宋体" w:eastAsia="仿宋_GB2312" w:cs="Times New Roman"/>
          <w:b/>
          <w:bCs w:val="0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在出具报告后五个工作日内将数据录入“</w:t>
      </w:r>
      <w:r>
        <w:rPr>
          <w:rFonts w:hint="default" w:ascii="仿宋_GB2312" w:hAnsi="宋体" w:eastAsia="仿宋_GB2312"/>
          <w:sz w:val="28"/>
          <w:lang w:val="en-US" w:eastAsia="zh-CN"/>
        </w:rPr>
        <w:t>全国污染源监测信息管理与共享平台</w:t>
      </w:r>
      <w:r>
        <w:rPr>
          <w:rFonts w:hint="eastAsia" w:ascii="仿宋_GB2312" w:hAnsi="宋体" w:eastAsia="仿宋_GB2312"/>
          <w:sz w:val="28"/>
          <w:lang w:val="en-US" w:eastAsia="zh-CN"/>
        </w:rPr>
        <w:t>”。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2021年发证企业执法监测情况</w:t>
      </w:r>
    </w:p>
    <w:tbl>
      <w:tblPr>
        <w:tblStyle w:val="8"/>
        <w:tblW w:w="14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1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监测土壤企业数量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3451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486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222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78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32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</w:tr>
    </w:tbl>
    <w:p>
      <w:pPr>
        <w:spacing w:line="600" w:lineRule="exact"/>
        <w:ind w:firstLine="560" w:firstLineChars="200"/>
        <w:jc w:val="both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附表2 2021年执法</w:t>
      </w:r>
      <w:r>
        <w:rPr>
          <w:rFonts w:hint="eastAsia" w:ascii="仿宋_GB2312" w:hAnsi="宋体" w:eastAsia="仿宋_GB2312"/>
          <w:sz w:val="28"/>
          <w:lang w:eastAsia="zh-CN"/>
        </w:rPr>
        <w:t>监测</w:t>
      </w:r>
      <w:r>
        <w:rPr>
          <w:rFonts w:hint="eastAsia" w:ascii="仿宋_GB2312" w:hAnsi="宋体" w:eastAsia="仿宋_GB2312"/>
          <w:sz w:val="28"/>
        </w:rPr>
        <w:t>超标</w:t>
      </w:r>
      <w:r>
        <w:rPr>
          <w:rFonts w:hint="eastAsia" w:ascii="仿宋_GB2312" w:hAnsi="宋体" w:eastAsia="仿宋_GB2312"/>
          <w:sz w:val="28"/>
          <w:lang w:eastAsia="zh-CN"/>
        </w:rPr>
        <w:t>结果（分为（废水（不含污水处理厂）、废气、污水处理厂、噪声、土壤、其他），以下项目为必填项目，可以加其他内容。</w:t>
      </w:r>
    </w:p>
    <w:p>
      <w:pPr>
        <w:spacing w:line="600" w:lineRule="exact"/>
        <w:ind w:firstLine="560" w:firstLineChars="200"/>
        <w:jc w:val="both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无超标。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</w:rPr>
        <w:t>附表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lang w:eastAsia="zh-CN"/>
        </w:rPr>
        <w:t>执法</w:t>
      </w:r>
      <w:r>
        <w:rPr>
          <w:rFonts w:hint="eastAsia" w:ascii="仿宋_GB2312" w:hAnsi="宋体" w:eastAsia="仿宋_GB2312"/>
          <w:sz w:val="28"/>
        </w:rPr>
        <w:t>监测</w:t>
      </w:r>
      <w:r>
        <w:rPr>
          <w:rFonts w:hint="eastAsia" w:ascii="仿宋_GB2312" w:hAnsi="宋体" w:eastAsia="仿宋_GB2312"/>
          <w:sz w:val="28"/>
          <w:lang w:val="en-US" w:eastAsia="zh-CN"/>
        </w:rPr>
        <w:t>行业排放达标情况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2021年</w:t>
      </w:r>
      <w:r>
        <w:rPr>
          <w:rFonts w:hint="eastAsia" w:ascii="仿宋_GB2312" w:hAnsi="宋体" w:eastAsia="仿宋_GB2312"/>
          <w:sz w:val="28"/>
          <w:lang w:eastAsia="zh-CN"/>
        </w:rPr>
        <w:t>废水排放行业达标情况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158"/>
        <w:gridCol w:w="1916"/>
        <w:gridCol w:w="2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2221|机制纸及纸板制造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361|汽车整车制造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2664|文化用信息化学品制造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1442|乳粉制造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144|乳制品制造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8411|综合医院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419|其他未列明制造业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135|屠宰及肉类加工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3360|金属表面处理及热处理加工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22|造纸和纸制品业 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439|其他机械和设备修理业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42|废弃资源综合利用业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1469|其他调味品、发酵制品制造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272|化学药品制剂制造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367|汽车零部件及配件制造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145|罐头食品制造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1495|食品及饲料添加剂制造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276|生物药品制品制造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3232|稀土金属冶炼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84|卫生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1453|蔬菜、水果罐头制造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137|蔬菜、菌类、水果和坚果加工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3599|其他专用设备制造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1441|液体乳制造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38|电气机械和器材制造业 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1513|啤酒制造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275|兽用药品制造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2319|包装装潢及其他印刷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175|化纤织造及印染精加工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1941|羽毛(绒)加工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4430|热力生产和供应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3585|机械治疗及病房护理设备制造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1512|白酒制造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2913|橡胶零件制造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13|农副食品加工业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274|中成药生产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3985|电子专用材料制造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2929|塑料零件及其他塑料制品制造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172|毛纺织及染整精加工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183|服饰制造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21|家具制造业 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1439|其他方便食品制造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149|其他食品制造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1351|牲畜屠宰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2761|生物药品制造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363|改装汽车制造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1329|其他饲料加工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841|医院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146|调味品、发酵制品制造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202|人造板制造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171|棉纺织及印染精加工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1752|化纤织物染整精加工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1499|其他未列明食品制造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1432|速冻食品制造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14|食品制造业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8412|中医医院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3660|汽车车身、挂车制造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1433|方便面制造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1723|毛染整精加工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1721|毛条和毛纱线加工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1399|其他未列明农副食品加工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3525|模具制造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514|文化、体育用品及器材批发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3391|黑色金属铸造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2641|涂料制造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1751|化纤织造加工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36|汽车制造业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411|日用杂品制造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67|资本市场服务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513|纺织、服装及家庭用品批发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2619|其他基础化学原料制造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3034|隔热和隔音材料制造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152|饮料制造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3829|其他输配电及控制设备制造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141|焙烤食品制造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4190|其他未列明制造业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1422|蜜饯制作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3252|铝压延加工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1511|酒精制造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2912|橡胶板、管、带制造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292|塑料制品业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3216|铝冶炼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143|方便食品制造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803|洗染服务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032|家禽饲养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1431|米、面制品制造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1522|瓶（罐）装饮用水制造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3311|金属结构制造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1392|豆制品制造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Y01|锅炉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219|其他家具制造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275-2|兽用中成药生产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1459|其他罐头食品制造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2021年</w:t>
      </w:r>
      <w:r>
        <w:rPr>
          <w:rFonts w:hint="eastAsia" w:ascii="仿宋_GB2312" w:hAnsi="宋体" w:eastAsia="仿宋_GB2312"/>
          <w:sz w:val="28"/>
          <w:lang w:eastAsia="zh-CN"/>
        </w:rPr>
        <w:t>废气排放行业达标情况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548"/>
        <w:gridCol w:w="152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4411|火力发电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2664|文化用信息化学品制造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2665|医学生产用信息化学品制造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4430|热力生产和供应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367|汽车零部件及配件制造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22|造纸和纸制品业 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272|化学药品制剂制造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8411|综合医院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275|兽用药品制造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276|生物药品制品制造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1495|食品及饲料添加剂制造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2319|包装装潢及其他印刷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2921|塑料薄膜制造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421|金属废料和碎屑加工处理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2221|机制纸及纸板制造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3599|其他专用设备制造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2710|化学药品原料药制造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3340|金属丝绳及其制品制造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38|电气机械和器材制造业 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2922|塑料板、管、型材制造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363|改装汽车制造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336|金属表面处理及热处理加工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3360|金属表面处理及热处理加工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211|木质家具制造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384|电池制造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2641|涂料制造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1951|纺织面料鞋制造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3585|机械治疗及病房护理设备制造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2624|复混肥料制造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2913|橡胶零件制造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2661|化学试剂和助剂制造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3091|石墨及碳素制品制造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2652|合成橡胶制造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3099|其他非金属矿物制品制造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3032|建筑用石加工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2919|其他橡胶制品制造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1312|小麦加工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274|中成药生产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3985|电子专用材料制造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1512|白酒制造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3391|黑色金属铸造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2659|其他合成材料制造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2929|塑料零件及其他塑料制品制造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264|涂料、油墨、颜料及类似产品制造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362|汽车用发动机制造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44|电力、热力生产和供应业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308|耐火材料制品制造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2625|有机肥料及微生物肥料制造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34|通用设备制造业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21|家具制造业 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1439|其他方便食品制造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149|其他食品制造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223|纸制品制造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1351|牲畜屠宰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203|木制品制造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2761|生物药品制造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303|砖瓦、石材等建筑材料制造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1012|建筑装饰用石开采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145|罐头食品制造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1329|其他饲料加工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841|医院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146|调味品、发酵制品制造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202|人造板制造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175|化纤织造及印染精加工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1752|化纤织物染整精加工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171|棉纺织及印染精加工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3110|炼铁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4412|热电联产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1459|其他罐头食品制造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2681|肥皂及洗涤剂制造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1499|其他未列明食品制造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1453|蔬菜、水果罐头制造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1371|蔬菜加工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1433|方便面制造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031|牲畜饲养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2022|纤维板制造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1391|淀粉及淀粉制品制造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14|食品制造业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1523|果菜汁及果菜汁饮料制造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0810|铁矿采选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3660|汽车车身、挂车制造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422|非金属废料和碎屑加工处理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2032|木门窗制造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42|废弃资源综合利用业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2663|林产化学产品制造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3525|模具制造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2912|橡胶板、管、带制造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1399|其他未列明农副食品加工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399|其他电子设备制造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3033|防水建筑材料制造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3829|其他输配电及控制设备制造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3252|铝压延加工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2631|化学农药制造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331|结构性金属制品制造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2231|纸和纸板容器制造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33|金属制品业 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391|计算机制造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344|泵、阀门、压缩机及类似机械制造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23|印刷和记录媒介复制业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2239|其他纸制品制造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2926|塑料包装箱及容器制造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335|建筑、安全用金属制品制造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339|其他金属制品制造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2662|专项化学用品制造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275-2|兽用中成药生产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3415|风能原动设备制造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36|汽车制造业</w:t>
            </w:r>
          </w:p>
        </w:tc>
        <w:tc>
          <w:tcPr>
            <w:tcW w:w="152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eastAsia="zh-CN"/>
        </w:rPr>
        <w:t>无组织</w:t>
      </w:r>
      <w:r>
        <w:rPr>
          <w:rFonts w:hint="eastAsia" w:ascii="仿宋_GB2312" w:hAnsi="宋体" w:eastAsia="仿宋_GB2312"/>
          <w:sz w:val="28"/>
          <w:lang w:eastAsia="zh-CN"/>
        </w:rPr>
        <w:t>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293"/>
        <w:gridCol w:w="178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367|汽车零部件及配件制造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275|兽用药品制造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2319|包装装潢及其他印刷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2921|塑料薄膜制造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2922|塑料板、管、型材制造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363|改装汽车制造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336|金属表面处理及热处理加工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4430|热力生产和供应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3360|金属表面处理及热处理加工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211|木质家具制造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2641|涂料制造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1951|纺织面料鞋制造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3585|机械治疗及病房护理设备制造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2221|机制纸及纸板制造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2624|复混肥料制造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2913|橡胶零件制造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2919|其他橡胶制品制造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421|金属废料和碎屑加工处理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1312|小麦加工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274|中成药生产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3985|电子专用材料制造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1512|白酒制造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3391|黑色金属铸造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2659|其他合成材料制造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2929|塑料零件及其他塑料制品制造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264|涂料、油墨、颜料及类似产品制造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362|汽车用发动机制造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308|耐火材料制品制造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2625|有机肥料及微生物肥料制造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34|通用设备制造业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21|家具制造业 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172|毛纺织及染整精加工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1439|其他方便食品制造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149|其他食品制造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223|纸制品制造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1351|牲畜屠宰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203|木制品制造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2761|生物药品制造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303|砖瓦、石材等建筑材料制造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1012|建筑装饰用石开采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145|罐头食品制造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1329|其他饲料加工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841|医院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146|调味品、发酵制品制造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202|人造板制造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3110|炼铁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84|卫生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2022|纤维板制造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1391|淀粉及淀粉制品制造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8411|综合医院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14|食品制造业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135|屠宰及肉类加工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0810|铁矿采选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8412|中医医院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3660|汽车车身、挂车制造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1433|方便面制造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422|非金属废料和碎屑加工处理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2032|木门窗制造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2663|林产化学产品制造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3525|模具制造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399|其他电子设备制造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3033|防水建筑材料制造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3829|其他输配电及控制设备制造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3252|铝压延加工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2631|化学农药制造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331|结构性金属制品制造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2231|纸和纸板容器制造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 xml:space="preserve">33|金属制品业 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391|计算机制造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344|泵、阀门、压缩机及类似机械制造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23|印刷和记录媒介复制业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2239|其他纸制品制造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2926|塑料包装箱及容器制造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335|建筑、安全用金属制品制造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339|其他金属制品制造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2662|专项化学用品制造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4412|热电联产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219|其他家具制造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275-2|兽用中成药生产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2664|文化用信息化学品制造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93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36|汽车制造业</w:t>
            </w:r>
          </w:p>
        </w:tc>
        <w:tc>
          <w:tcPr>
            <w:tcW w:w="178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年土壤排放行业达标情况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668"/>
        <w:gridCol w:w="140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2664|文化用信息化学品制造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361|汽车整车制造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367|汽车零部件及配件制造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276|生物药品制品制造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2710|化学药品原料药制造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275|兽用药品制造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1495|食品及饲料添加剂制造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4430|热力生产和供应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3259|其他有色金属压延加工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3212|铅锌冶炼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384|电池制造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4025|地质勘探和地震专用仪器制造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172|毛纺织及染整精加工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07|石油和天然气开采业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1931|毛皮鞣制加工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261|基础化学原料制造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2663|林产化学产品制造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321|常用有色金属冶炼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462|污水处理及其再生利用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36|汽车制造业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3741|飞机制造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724|咨询与调查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3360|金属表面处理及热处理加工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336|金属表面处理及热处理加工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7724-1|危险废物治理-焚烧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2619|其他基础化学原料制造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3829|其他输配电及控制设备制造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3252|铝压延加工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3670|汽车零部件及配件制造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2662|专项化学用品制造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2661|化学试剂和助剂制造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7723|固体废物治理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2631|化学农药制造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2651|初级形态塑料及合成树脂制造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43</w:t>
            </w:r>
          </w:p>
        </w:tc>
        <w:tc>
          <w:tcPr>
            <w:tcW w:w="366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82|其他服务业</w:t>
            </w:r>
          </w:p>
        </w:tc>
        <w:tc>
          <w:tcPr>
            <w:tcW w:w="1406" w:type="dxa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年噪声排放行业达标情况</w:t>
      </w:r>
    </w:p>
    <w:tbl>
      <w:tblPr>
        <w:tblStyle w:val="8"/>
        <w:tblW w:w="8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3158"/>
        <w:gridCol w:w="191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数量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367|汽车零部件及配件制造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303|砖瓦、石材等建筑材料制造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5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3391|黑色金属铸造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1012|建筑装饰用石开采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145|罐头食品制造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1329|其他饲料加工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146|调味品、发酵制品制造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202|人造板制造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1459|其他罐头食品制造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2919|其他橡胶制品制造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2681|肥皂及洗涤剂制造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1499|其他未列明食品制造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1453|蔬菜、水果罐头制造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1371|蔬菜加工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1433|方便面制造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1312|小麦加工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421|金属废料和碎屑加工处理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2929|塑料零件及其他塑料制品制造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274|中成药生产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4430|热力生产和供应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8411|综合医院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219|其他家具制造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275-2|兽用中成药生产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3158" w:type="dxa"/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916" w:type="dxa"/>
            <w:shd w:val="clear" w:color="auto" w:fill="auto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附表4 复测企业情况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年复测情况</w:t>
      </w:r>
    </w:p>
    <w:tbl>
      <w:tblPr>
        <w:tblStyle w:val="9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复测排污单位名单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原监测时间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复测时间</w:t>
            </w:r>
          </w:p>
        </w:tc>
        <w:tc>
          <w:tcPr>
            <w:tcW w:w="2325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复测数据是否达标（若有超标，请注明超标项目）</w:t>
            </w: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hint="eastAsia" w:ascii="仿宋_GB2312" w:hAnsi="宋体" w:eastAsia="宋体"/>
                <w:sz w:val="28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.......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default" w:ascii="仿宋_GB2312" w:hAnsi="宋体" w:eastAsia="仿宋_GB2312"/>
          <w:b/>
          <w:bCs/>
          <w:sz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NumType w:fmt="decimal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596D4"/>
    <w:multiLevelType w:val="singleLevel"/>
    <w:tmpl w:val="098596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F97AA9"/>
    <w:rsid w:val="029972B7"/>
    <w:rsid w:val="02FD5258"/>
    <w:rsid w:val="031F06A0"/>
    <w:rsid w:val="03A242BB"/>
    <w:rsid w:val="03FE518A"/>
    <w:rsid w:val="04077B10"/>
    <w:rsid w:val="056B1C2B"/>
    <w:rsid w:val="056C2C60"/>
    <w:rsid w:val="05AE6913"/>
    <w:rsid w:val="05CD3F8F"/>
    <w:rsid w:val="0690073B"/>
    <w:rsid w:val="079559FB"/>
    <w:rsid w:val="081E480B"/>
    <w:rsid w:val="08DF58FE"/>
    <w:rsid w:val="0926375F"/>
    <w:rsid w:val="098300A9"/>
    <w:rsid w:val="09B734AE"/>
    <w:rsid w:val="09C13E54"/>
    <w:rsid w:val="0A7051EF"/>
    <w:rsid w:val="0AB353FC"/>
    <w:rsid w:val="0C271AF2"/>
    <w:rsid w:val="0C717048"/>
    <w:rsid w:val="0D971BD6"/>
    <w:rsid w:val="0DCD1D07"/>
    <w:rsid w:val="0DD8031D"/>
    <w:rsid w:val="0E1C7049"/>
    <w:rsid w:val="0E451CEB"/>
    <w:rsid w:val="0E5477F1"/>
    <w:rsid w:val="0EC33C92"/>
    <w:rsid w:val="0EF35050"/>
    <w:rsid w:val="0FB0620E"/>
    <w:rsid w:val="0FBB3231"/>
    <w:rsid w:val="0FEC5C31"/>
    <w:rsid w:val="11122635"/>
    <w:rsid w:val="11235C33"/>
    <w:rsid w:val="115108B1"/>
    <w:rsid w:val="125D1061"/>
    <w:rsid w:val="12C51064"/>
    <w:rsid w:val="135A3654"/>
    <w:rsid w:val="1376526A"/>
    <w:rsid w:val="13EA5843"/>
    <w:rsid w:val="141A5293"/>
    <w:rsid w:val="141A67C2"/>
    <w:rsid w:val="14516EC2"/>
    <w:rsid w:val="14577321"/>
    <w:rsid w:val="14BF5608"/>
    <w:rsid w:val="14E46715"/>
    <w:rsid w:val="15054C01"/>
    <w:rsid w:val="15467AD8"/>
    <w:rsid w:val="15780C13"/>
    <w:rsid w:val="15781D56"/>
    <w:rsid w:val="160A070B"/>
    <w:rsid w:val="16446611"/>
    <w:rsid w:val="16B8134D"/>
    <w:rsid w:val="172C2226"/>
    <w:rsid w:val="173F494F"/>
    <w:rsid w:val="17FD79DC"/>
    <w:rsid w:val="183528AA"/>
    <w:rsid w:val="1876130B"/>
    <w:rsid w:val="18873AF5"/>
    <w:rsid w:val="189A1E73"/>
    <w:rsid w:val="1952312A"/>
    <w:rsid w:val="19831126"/>
    <w:rsid w:val="19C837AA"/>
    <w:rsid w:val="19E97E52"/>
    <w:rsid w:val="1A657EE0"/>
    <w:rsid w:val="1A965AC4"/>
    <w:rsid w:val="1AA71F38"/>
    <w:rsid w:val="1AE429BA"/>
    <w:rsid w:val="1B0064C2"/>
    <w:rsid w:val="1B5703B9"/>
    <w:rsid w:val="1B873A5B"/>
    <w:rsid w:val="1BC32FAF"/>
    <w:rsid w:val="1BE74947"/>
    <w:rsid w:val="1BF210B4"/>
    <w:rsid w:val="1C2D4ACD"/>
    <w:rsid w:val="1C9461F3"/>
    <w:rsid w:val="1D4B441D"/>
    <w:rsid w:val="1DD77BB1"/>
    <w:rsid w:val="1DF11E0B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165986"/>
    <w:rsid w:val="20B22CB1"/>
    <w:rsid w:val="20F1380B"/>
    <w:rsid w:val="214E3F6C"/>
    <w:rsid w:val="21C5721D"/>
    <w:rsid w:val="2213359B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2440C2"/>
    <w:rsid w:val="264426AF"/>
    <w:rsid w:val="266313D2"/>
    <w:rsid w:val="26BA05F6"/>
    <w:rsid w:val="26D5487F"/>
    <w:rsid w:val="26DF3F84"/>
    <w:rsid w:val="26ED4773"/>
    <w:rsid w:val="27222165"/>
    <w:rsid w:val="27E44A77"/>
    <w:rsid w:val="27F441C5"/>
    <w:rsid w:val="2839117B"/>
    <w:rsid w:val="28DE4CF7"/>
    <w:rsid w:val="2970520B"/>
    <w:rsid w:val="29F6324E"/>
    <w:rsid w:val="2A4550ED"/>
    <w:rsid w:val="2A8D0E4F"/>
    <w:rsid w:val="2A961518"/>
    <w:rsid w:val="2AA871F2"/>
    <w:rsid w:val="2ACA51EB"/>
    <w:rsid w:val="2B2F7FD6"/>
    <w:rsid w:val="2B9142ED"/>
    <w:rsid w:val="2C0F79BC"/>
    <w:rsid w:val="2D1B65B3"/>
    <w:rsid w:val="2D1E479F"/>
    <w:rsid w:val="2DA67E06"/>
    <w:rsid w:val="2DF75B4B"/>
    <w:rsid w:val="2E730183"/>
    <w:rsid w:val="2E903CB6"/>
    <w:rsid w:val="2EA30AE6"/>
    <w:rsid w:val="2EB43A95"/>
    <w:rsid w:val="2F0A2971"/>
    <w:rsid w:val="2F7670FF"/>
    <w:rsid w:val="2F823463"/>
    <w:rsid w:val="2FCE1F78"/>
    <w:rsid w:val="2FDA2EE3"/>
    <w:rsid w:val="2FF864E9"/>
    <w:rsid w:val="305B31E3"/>
    <w:rsid w:val="30DF2BFB"/>
    <w:rsid w:val="314C2059"/>
    <w:rsid w:val="31B90E72"/>
    <w:rsid w:val="31C17616"/>
    <w:rsid w:val="326D58A2"/>
    <w:rsid w:val="32820914"/>
    <w:rsid w:val="32BC0383"/>
    <w:rsid w:val="33946423"/>
    <w:rsid w:val="33A830F7"/>
    <w:rsid w:val="33E95273"/>
    <w:rsid w:val="3484226D"/>
    <w:rsid w:val="34C53EAE"/>
    <w:rsid w:val="35615B5B"/>
    <w:rsid w:val="35B73417"/>
    <w:rsid w:val="35C57163"/>
    <w:rsid w:val="36191AC0"/>
    <w:rsid w:val="366D2048"/>
    <w:rsid w:val="37165A1B"/>
    <w:rsid w:val="3729725E"/>
    <w:rsid w:val="37683B4C"/>
    <w:rsid w:val="37B061FE"/>
    <w:rsid w:val="38623757"/>
    <w:rsid w:val="389C3213"/>
    <w:rsid w:val="38F74C43"/>
    <w:rsid w:val="398F60E4"/>
    <w:rsid w:val="39935CFC"/>
    <w:rsid w:val="39C94C72"/>
    <w:rsid w:val="3A2755D6"/>
    <w:rsid w:val="3A6E6D74"/>
    <w:rsid w:val="3AC03628"/>
    <w:rsid w:val="3AC32326"/>
    <w:rsid w:val="3ADE6190"/>
    <w:rsid w:val="3AFB2473"/>
    <w:rsid w:val="3B0474B4"/>
    <w:rsid w:val="3B491AA4"/>
    <w:rsid w:val="3C7120A8"/>
    <w:rsid w:val="3CC4661E"/>
    <w:rsid w:val="3D0D2795"/>
    <w:rsid w:val="3D4A161A"/>
    <w:rsid w:val="3D5B52A8"/>
    <w:rsid w:val="3D8446A1"/>
    <w:rsid w:val="3D8D72AD"/>
    <w:rsid w:val="3DE95124"/>
    <w:rsid w:val="3DED29E3"/>
    <w:rsid w:val="3DF8427B"/>
    <w:rsid w:val="3E8C3232"/>
    <w:rsid w:val="3F033949"/>
    <w:rsid w:val="3F255344"/>
    <w:rsid w:val="3F346571"/>
    <w:rsid w:val="3F985E03"/>
    <w:rsid w:val="3FA94EE1"/>
    <w:rsid w:val="3FFD0A3B"/>
    <w:rsid w:val="401663B0"/>
    <w:rsid w:val="408170A2"/>
    <w:rsid w:val="41864D33"/>
    <w:rsid w:val="42A12617"/>
    <w:rsid w:val="43505811"/>
    <w:rsid w:val="435E41D2"/>
    <w:rsid w:val="43D917BF"/>
    <w:rsid w:val="44067847"/>
    <w:rsid w:val="442A3ACE"/>
    <w:rsid w:val="44B2694A"/>
    <w:rsid w:val="44ED2952"/>
    <w:rsid w:val="45434CF7"/>
    <w:rsid w:val="456F61E8"/>
    <w:rsid w:val="45B002FD"/>
    <w:rsid w:val="45E274C5"/>
    <w:rsid w:val="460C5C61"/>
    <w:rsid w:val="46172E38"/>
    <w:rsid w:val="46446224"/>
    <w:rsid w:val="47C63519"/>
    <w:rsid w:val="47D403FD"/>
    <w:rsid w:val="481E5CC8"/>
    <w:rsid w:val="48857131"/>
    <w:rsid w:val="48BA0E04"/>
    <w:rsid w:val="48CC24FB"/>
    <w:rsid w:val="49B857D9"/>
    <w:rsid w:val="4B1F2F24"/>
    <w:rsid w:val="4BAE5443"/>
    <w:rsid w:val="4BE03F3B"/>
    <w:rsid w:val="4BE053CA"/>
    <w:rsid w:val="4BF838D9"/>
    <w:rsid w:val="4C0959B4"/>
    <w:rsid w:val="4CC07B86"/>
    <w:rsid w:val="4CEE517C"/>
    <w:rsid w:val="4D56487C"/>
    <w:rsid w:val="4DD04EFE"/>
    <w:rsid w:val="4DF95CDA"/>
    <w:rsid w:val="4E001C66"/>
    <w:rsid w:val="4E1B4074"/>
    <w:rsid w:val="4EFA44CD"/>
    <w:rsid w:val="4F34160E"/>
    <w:rsid w:val="4F6A568D"/>
    <w:rsid w:val="4F8771DF"/>
    <w:rsid w:val="4FC61824"/>
    <w:rsid w:val="504C1ADB"/>
    <w:rsid w:val="50581C28"/>
    <w:rsid w:val="51162487"/>
    <w:rsid w:val="52773505"/>
    <w:rsid w:val="52DD3282"/>
    <w:rsid w:val="52E71D2B"/>
    <w:rsid w:val="53D634E5"/>
    <w:rsid w:val="54780815"/>
    <w:rsid w:val="547902F5"/>
    <w:rsid w:val="5483053E"/>
    <w:rsid w:val="54A2438E"/>
    <w:rsid w:val="54CB198F"/>
    <w:rsid w:val="55202DAA"/>
    <w:rsid w:val="554419FE"/>
    <w:rsid w:val="55C92576"/>
    <w:rsid w:val="562F3D3E"/>
    <w:rsid w:val="56941122"/>
    <w:rsid w:val="571750A2"/>
    <w:rsid w:val="57322FDD"/>
    <w:rsid w:val="58113F0F"/>
    <w:rsid w:val="584C3CCA"/>
    <w:rsid w:val="588D6E20"/>
    <w:rsid w:val="58D86F32"/>
    <w:rsid w:val="59D27D07"/>
    <w:rsid w:val="5A357377"/>
    <w:rsid w:val="5A3C67BF"/>
    <w:rsid w:val="5A937FAD"/>
    <w:rsid w:val="5AC2389F"/>
    <w:rsid w:val="5B4A3A5E"/>
    <w:rsid w:val="5B6C2F7D"/>
    <w:rsid w:val="5BBA674A"/>
    <w:rsid w:val="5C5D0146"/>
    <w:rsid w:val="5D147CA4"/>
    <w:rsid w:val="5DED497B"/>
    <w:rsid w:val="5F35145E"/>
    <w:rsid w:val="5F631F0A"/>
    <w:rsid w:val="5F6A1056"/>
    <w:rsid w:val="5F7A57AC"/>
    <w:rsid w:val="5FE86B00"/>
    <w:rsid w:val="5FE96ECD"/>
    <w:rsid w:val="6122434D"/>
    <w:rsid w:val="615A3AA4"/>
    <w:rsid w:val="61F364CB"/>
    <w:rsid w:val="62B0601C"/>
    <w:rsid w:val="62F16EE8"/>
    <w:rsid w:val="62F43E60"/>
    <w:rsid w:val="6363071F"/>
    <w:rsid w:val="63E33705"/>
    <w:rsid w:val="63EA07A3"/>
    <w:rsid w:val="640027A7"/>
    <w:rsid w:val="64354337"/>
    <w:rsid w:val="64BA0678"/>
    <w:rsid w:val="64C043FC"/>
    <w:rsid w:val="64C452EA"/>
    <w:rsid w:val="657B63DC"/>
    <w:rsid w:val="65A837C7"/>
    <w:rsid w:val="65B13244"/>
    <w:rsid w:val="66052E26"/>
    <w:rsid w:val="661546C7"/>
    <w:rsid w:val="661571CF"/>
    <w:rsid w:val="66527FAD"/>
    <w:rsid w:val="669A1B16"/>
    <w:rsid w:val="68170F27"/>
    <w:rsid w:val="68DE6EE9"/>
    <w:rsid w:val="690B6DDE"/>
    <w:rsid w:val="6926100A"/>
    <w:rsid w:val="69A90F3D"/>
    <w:rsid w:val="6A085655"/>
    <w:rsid w:val="6A7115D6"/>
    <w:rsid w:val="6A8F0FC5"/>
    <w:rsid w:val="6AB02F4C"/>
    <w:rsid w:val="6BC8643C"/>
    <w:rsid w:val="6BE47792"/>
    <w:rsid w:val="6DB371A9"/>
    <w:rsid w:val="6EF510D5"/>
    <w:rsid w:val="6F066005"/>
    <w:rsid w:val="6F9F6B44"/>
    <w:rsid w:val="6FE66531"/>
    <w:rsid w:val="6FF9397D"/>
    <w:rsid w:val="7033210A"/>
    <w:rsid w:val="703A1F0E"/>
    <w:rsid w:val="70484844"/>
    <w:rsid w:val="72990018"/>
    <w:rsid w:val="729C1238"/>
    <w:rsid w:val="72AD71D7"/>
    <w:rsid w:val="73035905"/>
    <w:rsid w:val="73420E50"/>
    <w:rsid w:val="737F2733"/>
    <w:rsid w:val="74194B8E"/>
    <w:rsid w:val="741B1588"/>
    <w:rsid w:val="74203B05"/>
    <w:rsid w:val="74296ED8"/>
    <w:rsid w:val="742C2B6C"/>
    <w:rsid w:val="746E69E2"/>
    <w:rsid w:val="74715258"/>
    <w:rsid w:val="74782AA9"/>
    <w:rsid w:val="74C55170"/>
    <w:rsid w:val="750C6C1E"/>
    <w:rsid w:val="75B11428"/>
    <w:rsid w:val="760E5DB4"/>
    <w:rsid w:val="76EE19BB"/>
    <w:rsid w:val="77204FE5"/>
    <w:rsid w:val="773C31A9"/>
    <w:rsid w:val="773F133F"/>
    <w:rsid w:val="7789670D"/>
    <w:rsid w:val="778D249D"/>
    <w:rsid w:val="77AC5579"/>
    <w:rsid w:val="77B815D5"/>
    <w:rsid w:val="77C71871"/>
    <w:rsid w:val="783C1CA2"/>
    <w:rsid w:val="78436481"/>
    <w:rsid w:val="78EB6FDD"/>
    <w:rsid w:val="793D4AB0"/>
    <w:rsid w:val="79B35841"/>
    <w:rsid w:val="79EE31B6"/>
    <w:rsid w:val="7A51041B"/>
    <w:rsid w:val="7A622A67"/>
    <w:rsid w:val="7A9F0FC4"/>
    <w:rsid w:val="7B3B010C"/>
    <w:rsid w:val="7C052A2E"/>
    <w:rsid w:val="7CB841AE"/>
    <w:rsid w:val="7CFD6628"/>
    <w:rsid w:val="7D1F3A96"/>
    <w:rsid w:val="7D9007F5"/>
    <w:rsid w:val="7DF91D52"/>
    <w:rsid w:val="7E1F27B2"/>
    <w:rsid w:val="7E594B17"/>
    <w:rsid w:val="7E8C28F7"/>
    <w:rsid w:val="7EC14D19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">
    <w:name w:val="Table Classic 1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kern w:val="2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年报表格内容"/>
    <w:basedOn w:val="1"/>
    <w:qFormat/>
    <w:uiPriority w:val="0"/>
    <w:pPr>
      <w:framePr w:hSpace="180" w:wrap="around" w:vAnchor="text" w:hAnchor="margin" w:xAlign="center" w:y="55"/>
      <w:spacing w:line="280" w:lineRule="exact"/>
      <w:ind w:firstLine="0" w:firstLineChars="0"/>
      <w:jc w:val="center"/>
      <w:textAlignment w:val="bottom"/>
    </w:pPr>
    <w:rPr>
      <w:rFonts w:cs="Times New Roman"/>
      <w:bCs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table" w:customStyle="1" w:styleId="29">
    <w:name w:val="List Table 4 Accent 6"/>
    <w:basedOn w:val="8"/>
    <w:qFormat/>
    <w:uiPriority w:val="49"/>
    <w:rPr>
      <w:rFonts w:ascii="等线" w:hAnsi="等线" w:eastAsia="等线" w:cs="等线"/>
      <w:kern w:val="0"/>
      <w:sz w:val="20"/>
      <w:szCs w:val="20"/>
    </w:rPr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cPr>
      <w:vAlign w:val="center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5</Pages>
  <Words>112</Words>
  <Characters>641</Characters>
  <Lines>5</Lines>
  <Paragraphs>1</Paragraphs>
  <TotalTime>117</TotalTime>
  <ScaleCrop>false</ScaleCrop>
  <LinksUpToDate>false</LinksUpToDate>
  <CharactersWithSpaces>752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2022-01-27T02:47:00Z</cp:lastPrinted>
  <dcterms:modified xsi:type="dcterms:W3CDTF">2022-01-27T03:09:45Z</dcterms:modified>
  <dc:title>关于2011年四季度重点污染源监测情况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C8199B32236547E3B56EA82181DC8D99</vt:lpwstr>
  </property>
</Properties>
</file>