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560"/>
      </w:pPr>
    </w:p>
    <w:p>
      <w:pPr>
        <w:ind w:firstLine="560"/>
      </w:pPr>
    </w:p>
    <w:p>
      <w:pPr>
        <w:pStyle w:val="4"/>
        <w:spacing w:line="720" w:lineRule="auto"/>
        <w:rPr>
          <w:szCs w:val="48"/>
        </w:rPr>
      </w:pPr>
      <w:bookmarkStart w:id="0" w:name="_Toc8666"/>
      <w:bookmarkStart w:id="1" w:name="_Toc31536"/>
      <w:bookmarkStart w:id="2" w:name="_Toc65478512"/>
      <w:bookmarkStart w:id="3" w:name="_Toc29397"/>
      <w:bookmarkStart w:id="4" w:name="_Toc65921215"/>
      <w:bookmarkStart w:id="5" w:name="_Toc25203"/>
      <w:bookmarkStart w:id="6" w:name="_Toc93136200"/>
      <w:bookmarkStart w:id="7" w:name="_Toc118098337"/>
      <w:bookmarkStart w:id="8" w:name="_Toc65857044"/>
      <w:bookmarkStart w:id="9" w:name="_Toc92915823"/>
      <w:bookmarkStart w:id="10" w:name="_Toc65846935"/>
      <w:bookmarkStart w:id="11" w:name="_Toc65857348"/>
      <w:bookmarkStart w:id="12" w:name="_Toc27643"/>
      <w:bookmarkStart w:id="13" w:name="_Toc69129311"/>
      <w:bookmarkStart w:id="14" w:name="_Hlk65920488"/>
      <w:bookmarkStart w:id="15" w:name="_Hlk65852719"/>
      <w:r>
        <w:rPr>
          <w:rFonts w:hint="eastAsia"/>
          <w:szCs w:val="48"/>
        </w:rPr>
        <w:t>保定市一亩泉地下水型集中式生活饮用水水源地</w:t>
      </w:r>
      <w:r>
        <w:rPr>
          <w:szCs w:val="48"/>
        </w:rPr>
        <w:t>地下水</w:t>
      </w:r>
      <w:r>
        <w:rPr>
          <w:rFonts w:hint="eastAsia"/>
          <w:szCs w:val="48"/>
        </w:rPr>
        <w:t>环境状况详细</w:t>
      </w:r>
      <w:r>
        <w:rPr>
          <w:szCs w:val="48"/>
        </w:rPr>
        <w:t>调查</w:t>
      </w:r>
      <w:bookmarkEnd w:id="0"/>
      <w:bookmarkEnd w:id="1"/>
      <w:bookmarkEnd w:id="2"/>
      <w:bookmarkEnd w:id="3"/>
      <w:r>
        <w:rPr>
          <w:rFonts w:hint="eastAsia"/>
          <w:szCs w:val="48"/>
        </w:rPr>
        <w:t>与</w:t>
      </w:r>
      <w:bookmarkEnd w:id="4"/>
      <w:bookmarkEnd w:id="5"/>
      <w:bookmarkEnd w:id="6"/>
      <w:bookmarkEnd w:id="7"/>
      <w:bookmarkEnd w:id="8"/>
      <w:bookmarkEnd w:id="9"/>
      <w:bookmarkEnd w:id="10"/>
      <w:bookmarkEnd w:id="11"/>
      <w:bookmarkEnd w:id="12"/>
      <w:bookmarkEnd w:id="13"/>
    </w:p>
    <w:p>
      <w:pPr>
        <w:pStyle w:val="4"/>
        <w:spacing w:line="720" w:lineRule="auto"/>
        <w:rPr>
          <w:szCs w:val="48"/>
        </w:rPr>
      </w:pPr>
      <w:bookmarkStart w:id="16" w:name="_Toc5618"/>
      <w:bookmarkStart w:id="17" w:name="_Toc327"/>
      <w:bookmarkStart w:id="18" w:name="_Toc93136201"/>
      <w:bookmarkStart w:id="19" w:name="_Toc23726"/>
      <w:bookmarkStart w:id="20" w:name="_Toc65921216"/>
      <w:bookmarkStart w:id="21" w:name="_Toc92915824"/>
      <w:bookmarkStart w:id="22" w:name="_Toc69129312"/>
      <w:bookmarkStart w:id="23" w:name="_Toc65857349"/>
      <w:bookmarkStart w:id="24" w:name="_Toc22622"/>
      <w:bookmarkStart w:id="25" w:name="_Toc65846936"/>
      <w:bookmarkStart w:id="26" w:name="_Toc118098338"/>
      <w:bookmarkStart w:id="27" w:name="_Toc65478513"/>
      <w:bookmarkStart w:id="28" w:name="_Toc16916"/>
      <w:bookmarkStart w:id="29" w:name="_Toc65857045"/>
      <w:r>
        <w:rPr>
          <w:szCs w:val="48"/>
        </w:rPr>
        <w:t>评估项目实施方案</w:t>
      </w:r>
      <w:bookmarkEnd w:id="16"/>
      <w:bookmarkEnd w:id="17"/>
      <w:bookmarkEnd w:id="18"/>
      <w:bookmarkEnd w:id="19"/>
      <w:bookmarkEnd w:id="20"/>
      <w:bookmarkEnd w:id="21"/>
      <w:bookmarkEnd w:id="22"/>
      <w:bookmarkEnd w:id="23"/>
      <w:bookmarkEnd w:id="24"/>
      <w:bookmarkEnd w:id="25"/>
      <w:bookmarkEnd w:id="26"/>
      <w:bookmarkEnd w:id="27"/>
      <w:bookmarkEnd w:id="28"/>
      <w:bookmarkEnd w:id="29"/>
    </w:p>
    <w:bookmarkEnd w:id="14"/>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0" w:firstLineChars="0"/>
        <w:rPr>
          <w:rFonts w:eastAsia="黑体" w:cs="Times New Roman"/>
          <w:b/>
          <w:bCs/>
          <w:sz w:val="52"/>
          <w:szCs w:val="44"/>
        </w:rPr>
      </w:pPr>
    </w:p>
    <w:p>
      <w:pPr>
        <w:ind w:firstLine="174" w:firstLineChars="62"/>
        <w:jc w:val="center"/>
        <w:rPr>
          <w:rFonts w:cs="Times New Roman"/>
          <w:b/>
          <w:szCs w:val="28"/>
        </w:rPr>
      </w:pPr>
      <w:bookmarkStart w:id="30" w:name="_Toc7491"/>
      <w:r>
        <w:rPr>
          <w:rFonts w:hint="eastAsia" w:cs="Times New Roman"/>
          <w:b/>
          <w:szCs w:val="28"/>
        </w:rPr>
        <w:t>保定市生态环境局</w:t>
      </w:r>
      <w:bookmarkEnd w:id="30"/>
    </w:p>
    <w:p>
      <w:pPr>
        <w:ind w:firstLine="174" w:firstLineChars="62"/>
        <w:jc w:val="center"/>
        <w:rPr>
          <w:rFonts w:cs="Times New Roman"/>
          <w:b/>
          <w:szCs w:val="28"/>
        </w:rPr>
      </w:pPr>
      <w:r>
        <w:rPr>
          <w:rFonts w:cs="Times New Roman"/>
          <w:b/>
          <w:szCs w:val="28"/>
        </w:rPr>
        <w:t>二〇二</w:t>
      </w:r>
      <w:r>
        <w:rPr>
          <w:rFonts w:hint="eastAsia" w:cs="Times New Roman"/>
          <w:b/>
          <w:szCs w:val="28"/>
          <w:lang w:eastAsia="zh-CN"/>
        </w:rPr>
        <w:t>三</w:t>
      </w:r>
      <w:r>
        <w:rPr>
          <w:rFonts w:cs="Times New Roman"/>
          <w:b/>
          <w:szCs w:val="28"/>
        </w:rPr>
        <w:t>年</w:t>
      </w:r>
      <w:r>
        <w:rPr>
          <w:rFonts w:hint="eastAsia" w:cs="Times New Roman"/>
          <w:b/>
          <w:szCs w:val="28"/>
          <w:lang w:eastAsia="zh-CN"/>
        </w:rPr>
        <w:t>九</w:t>
      </w:r>
      <w:r>
        <w:rPr>
          <w:rFonts w:cs="Times New Roman"/>
          <w:b/>
          <w:szCs w:val="28"/>
        </w:rPr>
        <w:t>月</w:t>
      </w:r>
    </w:p>
    <w:bookmarkEnd w:id="15"/>
    <w:p>
      <w:pPr>
        <w:ind w:firstLine="560"/>
      </w:pPr>
    </w:p>
    <w:p>
      <w:pPr>
        <w:ind w:firstLine="560"/>
      </w:pPr>
    </w:p>
    <w:p>
      <w:pPr>
        <w:ind w:firstLine="560"/>
      </w:pPr>
      <w:bookmarkStart w:id="31" w:name="_Toc1205"/>
      <w:bookmarkStart w:id="32" w:name="_Toc65857046"/>
      <w:bookmarkStart w:id="33" w:name="_Toc65857350"/>
      <w:bookmarkStart w:id="34" w:name="_Toc69129313"/>
      <w:bookmarkStart w:id="35" w:name="_Toc92915825"/>
      <w:bookmarkStart w:id="36" w:name="_Toc93136202"/>
      <w:bookmarkStart w:id="37" w:name="_Toc65921217"/>
    </w:p>
    <w:p>
      <w:pPr>
        <w:pStyle w:val="4"/>
        <w:spacing w:line="720" w:lineRule="auto"/>
        <w:jc w:val="both"/>
        <w:rPr>
          <w:szCs w:val="48"/>
        </w:rPr>
      </w:pPr>
      <w:bookmarkStart w:id="38" w:name="_Toc118098339"/>
      <w:bookmarkStart w:id="39" w:name="_Toc5874"/>
      <w:r>
        <w:rPr>
          <w:rFonts w:hint="eastAsia"/>
          <w:szCs w:val="48"/>
        </w:rPr>
        <w:t>保定市一亩泉地下水型集中式生活饮用水水源地</w:t>
      </w:r>
      <w:r>
        <w:rPr>
          <w:szCs w:val="48"/>
        </w:rPr>
        <w:t>地下水</w:t>
      </w:r>
      <w:r>
        <w:rPr>
          <w:rFonts w:hint="eastAsia"/>
          <w:szCs w:val="48"/>
        </w:rPr>
        <w:t>环境状况详细</w:t>
      </w:r>
      <w:r>
        <w:rPr>
          <w:szCs w:val="48"/>
        </w:rPr>
        <w:t>调查</w:t>
      </w:r>
      <w:r>
        <w:rPr>
          <w:rFonts w:hint="eastAsia"/>
          <w:szCs w:val="48"/>
        </w:rPr>
        <w:t>与</w:t>
      </w:r>
      <w:bookmarkEnd w:id="31"/>
      <w:bookmarkEnd w:id="32"/>
      <w:bookmarkEnd w:id="33"/>
      <w:bookmarkEnd w:id="34"/>
      <w:bookmarkEnd w:id="35"/>
      <w:bookmarkEnd w:id="36"/>
      <w:bookmarkEnd w:id="37"/>
      <w:bookmarkEnd w:id="38"/>
      <w:bookmarkEnd w:id="39"/>
    </w:p>
    <w:p>
      <w:pPr>
        <w:pStyle w:val="4"/>
        <w:spacing w:line="720" w:lineRule="auto"/>
        <w:ind w:firstLine="360"/>
        <w:rPr>
          <w:szCs w:val="48"/>
        </w:rPr>
      </w:pPr>
      <w:bookmarkStart w:id="40" w:name="_Toc65921218"/>
      <w:bookmarkStart w:id="41" w:name="_Toc28110"/>
      <w:bookmarkStart w:id="42" w:name="_Toc92915826"/>
      <w:bookmarkStart w:id="43" w:name="_Toc118098340"/>
      <w:bookmarkStart w:id="44" w:name="_Toc11771"/>
      <w:bookmarkStart w:id="45" w:name="_Toc69129314"/>
      <w:bookmarkStart w:id="46" w:name="_Toc93136203"/>
      <w:bookmarkStart w:id="47" w:name="_Toc65857351"/>
      <w:bookmarkStart w:id="48" w:name="_Toc65857047"/>
      <w:r>
        <w:rPr>
          <w:szCs w:val="48"/>
        </w:rPr>
        <w:t>评估项目实施方案</w:t>
      </w:r>
      <w:bookmarkEnd w:id="40"/>
      <w:bookmarkEnd w:id="41"/>
      <w:bookmarkEnd w:id="42"/>
      <w:bookmarkEnd w:id="43"/>
      <w:bookmarkEnd w:id="44"/>
      <w:bookmarkEnd w:id="45"/>
      <w:bookmarkEnd w:id="46"/>
      <w:bookmarkEnd w:id="47"/>
      <w:bookmarkEnd w:id="48"/>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1044"/>
        <w:jc w:val="center"/>
        <w:rPr>
          <w:rFonts w:eastAsia="黑体" w:cs="Times New Roman"/>
          <w:b/>
          <w:bCs/>
          <w:sz w:val="52"/>
          <w:szCs w:val="44"/>
        </w:rPr>
      </w:pPr>
    </w:p>
    <w:p>
      <w:pPr>
        <w:widowControl/>
        <w:ind w:firstLine="1044"/>
        <w:jc w:val="center"/>
        <w:rPr>
          <w:rFonts w:eastAsia="黑体" w:cs="Times New Roman"/>
          <w:b/>
          <w:bCs/>
          <w:sz w:val="52"/>
          <w:szCs w:val="44"/>
        </w:rPr>
      </w:pPr>
    </w:p>
    <w:tbl>
      <w:tblPr>
        <w:tblStyle w:val="70"/>
        <w:tblpPr w:leftFromText="180" w:rightFromText="180" w:vertAnchor="text" w:horzAnchor="page" w:tblpX="1779" w:tblpY="336"/>
        <w:tblOverlap w:val="never"/>
        <w:tblW w:w="852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659"/>
        <w:gridCol w:w="686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659" w:type="dxa"/>
          </w:tcPr>
          <w:p>
            <w:pPr>
              <w:ind w:firstLine="0" w:firstLineChars="0"/>
              <w:rPr>
                <w:rFonts w:asciiTheme="minorHAnsi" w:hAnsiTheme="minorHAnsi" w:eastAsiaTheme="minorEastAsia"/>
                <w:b/>
                <w:bCs/>
              </w:rPr>
            </w:pPr>
            <w:r>
              <w:rPr>
                <w:rFonts w:hint="eastAsia" w:asciiTheme="minorHAnsi" w:hAnsiTheme="minorHAnsi" w:eastAsiaTheme="minorEastAsia"/>
                <w:b/>
                <w:bCs/>
              </w:rPr>
              <w:t>提交单位：</w:t>
            </w:r>
          </w:p>
        </w:tc>
        <w:tc>
          <w:tcPr>
            <w:tcW w:w="6863" w:type="dxa"/>
          </w:tcPr>
          <w:p>
            <w:pPr>
              <w:ind w:firstLine="560"/>
              <w:rPr>
                <w:rFonts w:asciiTheme="minorHAnsi" w:hAnsiTheme="minorHAnsi" w:eastAsiaTheme="minorEastAsia"/>
              </w:rPr>
            </w:pPr>
            <w:r>
              <w:rPr>
                <w:rFonts w:hint="eastAsia" w:asciiTheme="minorHAnsi" w:hAnsiTheme="minorHAnsi" w:eastAsiaTheme="minorEastAsia"/>
                <w:szCs w:val="36"/>
              </w:rPr>
              <w:t>保定市生态环境局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659" w:type="dxa"/>
          </w:tcPr>
          <w:p>
            <w:pPr>
              <w:ind w:firstLine="0" w:firstLineChars="0"/>
              <w:rPr>
                <w:rFonts w:asciiTheme="minorHAnsi" w:hAnsiTheme="minorHAnsi" w:eastAsiaTheme="minorEastAsia"/>
                <w:b/>
                <w:bCs/>
              </w:rPr>
            </w:pPr>
            <w:r>
              <w:rPr>
                <w:rFonts w:hint="eastAsia" w:asciiTheme="minorHAnsi" w:hAnsiTheme="minorHAnsi" w:eastAsiaTheme="minorEastAsia"/>
                <w:b/>
                <w:bCs/>
              </w:rPr>
              <w:t>编制日期：</w:t>
            </w:r>
          </w:p>
        </w:tc>
        <w:tc>
          <w:tcPr>
            <w:tcW w:w="6863" w:type="dxa"/>
          </w:tcPr>
          <w:p>
            <w:pPr>
              <w:ind w:firstLine="560"/>
              <w:rPr>
                <w:rFonts w:asciiTheme="minorHAnsi" w:hAnsiTheme="minorHAnsi" w:eastAsiaTheme="minorEastAsia"/>
              </w:rPr>
            </w:pPr>
            <w:r>
              <w:rPr>
                <w:rFonts w:hint="eastAsia" w:asciiTheme="minorHAnsi" w:hAnsiTheme="minorHAnsi" w:eastAsiaTheme="minorEastAsia"/>
              </w:rPr>
              <w:t>20</w:t>
            </w:r>
            <w:r>
              <w:rPr>
                <w:rFonts w:asciiTheme="minorHAnsi" w:hAnsiTheme="minorHAnsi" w:eastAsiaTheme="minorEastAsia"/>
              </w:rPr>
              <w:t>2</w:t>
            </w:r>
            <w:r>
              <w:rPr>
                <w:rFonts w:hint="eastAsia" w:asciiTheme="minorHAnsi" w:hAnsiTheme="minorHAnsi" w:eastAsiaTheme="minorEastAsia"/>
                <w:lang w:val="en-US" w:eastAsia="zh-CN"/>
              </w:rPr>
              <w:t>3</w:t>
            </w:r>
            <w:r>
              <w:rPr>
                <w:rFonts w:hint="eastAsia" w:asciiTheme="minorHAnsi" w:hAnsiTheme="minorHAnsi" w:eastAsiaTheme="minorEastAsia"/>
              </w:rPr>
              <w:t>年</w:t>
            </w:r>
            <w:r>
              <w:rPr>
                <w:rFonts w:hint="eastAsia" w:asciiTheme="minorHAnsi" w:hAnsiTheme="minorHAnsi" w:eastAsiaTheme="minorEastAsia"/>
                <w:lang w:val="en-US" w:eastAsia="zh-CN"/>
              </w:rPr>
              <w:t>9</w:t>
            </w:r>
            <w:r>
              <w:rPr>
                <w:rFonts w:hint="eastAsia" w:asciiTheme="minorHAnsi" w:hAnsiTheme="minorHAnsi" w:eastAsiaTheme="minorEastAsia"/>
              </w:rPr>
              <w:t>月</w:t>
            </w:r>
          </w:p>
        </w:tc>
      </w:tr>
    </w:tbl>
    <w:p>
      <w:pPr>
        <w:widowControl/>
        <w:ind w:firstLine="0" w:firstLineChars="0"/>
        <w:rPr>
          <w:rFonts w:eastAsia="黑体" w:cs="Times New Roman"/>
          <w:b/>
          <w:bCs/>
          <w:sz w:val="52"/>
          <w:szCs w:val="44"/>
        </w:rPr>
      </w:pPr>
    </w:p>
    <w:p>
      <w:pPr>
        <w:ind w:firstLine="643"/>
        <w:jc w:val="center"/>
        <w:rPr>
          <w:rFonts w:cs="Times New Roman"/>
          <w:b/>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pPr>
    </w:p>
    <w:sdt>
      <w:sdtPr>
        <w:rPr>
          <w:rFonts w:hint="eastAsia" w:ascii="黑体" w:hAnsi="黑体" w:eastAsia="黑体" w:cs="黑体"/>
          <w:sz w:val="30"/>
          <w:szCs w:val="30"/>
        </w:rPr>
        <w:id w:val="147477108"/>
        <w15:color w:val="DBDBDB"/>
        <w:docPartObj>
          <w:docPartGallery w:val="Table of Contents"/>
          <w:docPartUnique/>
        </w:docPartObj>
      </w:sdtPr>
      <w:sdtEndPr>
        <w:rPr>
          <w:rFonts w:hint="eastAsia" w:ascii="黑体" w:hAnsi="黑体" w:eastAsia="黑体" w:cs="黑体"/>
          <w:b/>
          <w:sz w:val="30"/>
          <w:szCs w:val="30"/>
        </w:rPr>
      </w:sdtEndPr>
      <w:sdtContent>
        <w:p>
          <w:pPr>
            <w:ind w:firstLine="0" w:firstLineChars="0"/>
            <w:jc w:val="center"/>
          </w:pPr>
          <w:r>
            <w:rPr>
              <w:rFonts w:hint="eastAsia" w:ascii="黑体" w:hAnsi="黑体" w:eastAsia="黑体" w:cs="黑体"/>
              <w:sz w:val="30"/>
              <w:szCs w:val="30"/>
            </w:rPr>
            <w:t>目  录</w:t>
          </w:r>
          <w:r>
            <w:fldChar w:fldCharType="begin"/>
          </w:r>
          <w:r>
            <w:instrText xml:space="preserve">TOC \o "1-2" \h \u </w:instrText>
          </w:r>
          <w:r>
            <w:fldChar w:fldCharType="separate"/>
          </w:r>
        </w:p>
        <w:p>
          <w:pPr>
            <w:pStyle w:val="21"/>
            <w:tabs>
              <w:tab w:val="right" w:leader="dot" w:pos="8296"/>
            </w:tabs>
            <w:ind w:firstLine="0" w:firstLineChars="0"/>
            <w:rPr>
              <w:sz w:val="21"/>
              <w:szCs w:val="22"/>
            </w:rPr>
          </w:pPr>
          <w:r>
            <w:fldChar w:fldCharType="begin"/>
          </w:r>
          <w:r>
            <w:instrText xml:space="preserve"> HYPERLINK \l "_Toc118098341" </w:instrText>
          </w:r>
          <w:r>
            <w:fldChar w:fldCharType="separate"/>
          </w:r>
          <w:r>
            <w:rPr>
              <w:rStyle w:val="36"/>
            </w:rPr>
            <w:t>第一章  项目概况</w:t>
          </w:r>
          <w:r>
            <w:tab/>
          </w:r>
          <w:r>
            <w:fldChar w:fldCharType="begin"/>
          </w:r>
          <w:r>
            <w:instrText xml:space="preserve"> PAGEREF _Toc118098341 \h </w:instrText>
          </w:r>
          <w:r>
            <w:fldChar w:fldCharType="separate"/>
          </w:r>
          <w:r>
            <w:t>1</w:t>
          </w:r>
          <w:r>
            <w:fldChar w:fldCharType="end"/>
          </w:r>
          <w: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"_Toc118098342" </w:instrText>
          </w:r>
          <w:r>
            <w:fldChar w:fldCharType="separate"/>
          </w:r>
          <w:r>
            <w:rPr>
              <w:rStyle w:val="36"/>
              <w:rFonts w:cs="Times New Roman"/>
            </w:rPr>
            <w:t>1.1 项目基本信息</w:t>
          </w:r>
          <w:r>
            <w:rPr>
              <w:rFonts w:cs="Times New Roman"/>
            </w:rPr>
            <w:tab/>
          </w:r>
          <w:r>
            <w:rPr>
              <w:rFonts w:cs="Times New Roman"/>
            </w:rPr>
            <w:fldChar w:fldCharType="begin"/>
          </w:r>
          <w:r>
            <w:rPr>
              <w:rFonts w:cs="Times New Roman"/>
            </w:rPr>
            <w:instrText xml:space="preserve"> PAGEREF _Toc118098342 \h </w:instrText>
          </w:r>
          <w:r>
            <w:rPr>
              <w:rFonts w:cs="Times New Roman"/>
            </w:rPr>
            <w:fldChar w:fldCharType="separate"/>
          </w:r>
          <w:r>
            <w:rPr>
              <w:rFonts w:cs="Times New Roman"/>
            </w:rPr>
            <w:t>1</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"_Toc118098343" </w:instrText>
          </w:r>
          <w:r>
            <w:fldChar w:fldCharType="separate"/>
          </w:r>
          <w:r>
            <w:rPr>
              <w:rStyle w:val="36"/>
              <w:rFonts w:cs="Times New Roman"/>
            </w:rPr>
            <w:t>1.2 项目背景及实施的必要性</w:t>
          </w:r>
          <w:r>
            <w:rPr>
              <w:rFonts w:cs="Times New Roman"/>
            </w:rPr>
            <w:tab/>
          </w:r>
          <w:r>
            <w:rPr>
              <w:rFonts w:cs="Times New Roman"/>
            </w:rPr>
            <w:fldChar w:fldCharType="begin"/>
          </w:r>
          <w:r>
            <w:rPr>
              <w:rFonts w:cs="Times New Roman"/>
            </w:rPr>
            <w:instrText xml:space="preserve"> PAGEREF _Toc118098343 \h </w:instrText>
          </w:r>
          <w:r>
            <w:rPr>
              <w:rFonts w:cs="Times New Roman"/>
            </w:rPr>
            <w:fldChar w:fldCharType="separate"/>
          </w:r>
          <w:r>
            <w:rPr>
              <w:rFonts w:cs="Times New Roman"/>
            </w:rPr>
            <w:t>2</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"_Toc118098344" </w:instrText>
          </w:r>
          <w:r>
            <w:fldChar w:fldCharType="separate"/>
          </w:r>
          <w:r>
            <w:rPr>
              <w:rStyle w:val="36"/>
              <w:rFonts w:cs="Times New Roman"/>
            </w:rPr>
            <w:t>1.3 编制依据</w:t>
          </w:r>
          <w:r>
            <w:rPr>
              <w:rFonts w:cs="Times New Roman"/>
            </w:rPr>
            <w:tab/>
          </w:r>
          <w:r>
            <w:rPr>
              <w:rFonts w:cs="Times New Roman"/>
            </w:rPr>
            <w:fldChar w:fldCharType="begin"/>
          </w:r>
          <w:r>
            <w:rPr>
              <w:rFonts w:cs="Times New Roman"/>
            </w:rPr>
            <w:instrText xml:space="preserve"> PAGEREF _Toc118098344 \h </w:instrText>
          </w:r>
          <w:r>
            <w:rPr>
              <w:rFonts w:cs="Times New Roman"/>
            </w:rPr>
            <w:fldChar w:fldCharType="separate"/>
          </w:r>
          <w:r>
            <w:rPr>
              <w:rFonts w:cs="Times New Roman"/>
            </w:rPr>
            <w:t>7</w:t>
          </w:r>
          <w:r>
            <w:rPr>
              <w:rFonts w:cs="Times New Roman"/>
            </w:rPr>
            <w:fldChar w:fldCharType="end"/>
          </w:r>
          <w:r>
            <w:rPr>
              <w:rFonts w:cs="Times New Roman"/>
            </w:rPr>
            <w:fldChar w:fldCharType="end"/>
          </w:r>
        </w:p>
        <w:p>
          <w:pPr>
            <w:pStyle w:val="21"/>
            <w:tabs>
              <w:tab w:val="right" w:leader="dot" w:pos="8296"/>
            </w:tabs>
            <w:ind w:firstLine="0" w:firstLineChars="0"/>
            <w:rPr>
              <w:sz w:val="21"/>
              <w:szCs w:val="22"/>
            </w:rPr>
          </w:pPr>
          <w:r>
            <w:fldChar w:fldCharType="begin"/>
          </w:r>
          <w:r>
            <w:instrText xml:space="preserve"> HYPERLINK \l "_Toc118098345" </w:instrText>
          </w:r>
          <w:r>
            <w:fldChar w:fldCharType="separate"/>
          </w:r>
          <w:r>
            <w:rPr>
              <w:rStyle w:val="36"/>
            </w:rPr>
            <w:t>第二章  实施区域概况</w:t>
          </w:r>
          <w:r>
            <w:tab/>
          </w:r>
          <w:r>
            <w:fldChar w:fldCharType="begin"/>
          </w:r>
          <w:r>
            <w:instrText xml:space="preserve"> PAGEREF _Toc118098345 \h </w:instrText>
          </w:r>
          <w:r>
            <w:fldChar w:fldCharType="separate"/>
          </w:r>
          <w:r>
            <w:t>10</w:t>
          </w:r>
          <w:r>
            <w:fldChar w:fldCharType="end"/>
          </w:r>
          <w: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"_Toc118098346" </w:instrText>
          </w:r>
          <w:r>
            <w:fldChar w:fldCharType="separate"/>
          </w:r>
          <w:r>
            <w:rPr>
              <w:rStyle w:val="36"/>
              <w:rFonts w:cs="Times New Roman"/>
            </w:rPr>
            <w:t>2.1 自然环境概况</w:t>
          </w:r>
          <w:r>
            <w:rPr>
              <w:rFonts w:cs="Times New Roman"/>
            </w:rPr>
            <w:tab/>
          </w:r>
          <w:r>
            <w:rPr>
              <w:rFonts w:cs="Times New Roman"/>
            </w:rPr>
            <w:fldChar w:fldCharType="begin"/>
          </w:r>
          <w:r>
            <w:rPr>
              <w:rFonts w:cs="Times New Roman"/>
            </w:rPr>
            <w:instrText xml:space="preserve"> PAGEREF _Toc118098346 \h </w:instrText>
          </w:r>
          <w:r>
            <w:rPr>
              <w:rFonts w:cs="Times New Roman"/>
            </w:rPr>
            <w:fldChar w:fldCharType="separate"/>
          </w:r>
          <w:r>
            <w:rPr>
              <w:rFonts w:cs="Times New Roman"/>
            </w:rPr>
            <w:t>10</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"_Toc118098347" </w:instrText>
          </w:r>
          <w:r>
            <w:fldChar w:fldCharType="separate"/>
          </w:r>
          <w:r>
            <w:rPr>
              <w:rStyle w:val="36"/>
              <w:rFonts w:cs="Times New Roman"/>
            </w:rPr>
            <w:t>2.2 社会经济状况</w:t>
          </w:r>
          <w:r>
            <w:rPr>
              <w:rFonts w:cs="Times New Roman"/>
            </w:rPr>
            <w:tab/>
          </w:r>
          <w:r>
            <w:rPr>
              <w:rFonts w:cs="Times New Roman"/>
            </w:rPr>
            <w:fldChar w:fldCharType="begin"/>
          </w:r>
          <w:r>
            <w:rPr>
              <w:rFonts w:cs="Times New Roman"/>
            </w:rPr>
            <w:instrText xml:space="preserve"> PAGEREF _Toc118098347 \h </w:instrText>
          </w:r>
          <w:r>
            <w:rPr>
              <w:rFonts w:cs="Times New Roman"/>
            </w:rPr>
            <w:fldChar w:fldCharType="separate"/>
          </w:r>
          <w:r>
            <w:rPr>
              <w:rFonts w:cs="Times New Roman"/>
            </w:rPr>
            <w:t>25</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"_Toc118098348" </w:instrText>
          </w:r>
          <w:r>
            <w:fldChar w:fldCharType="separate"/>
          </w:r>
          <w:r>
            <w:rPr>
              <w:rStyle w:val="36"/>
              <w:rFonts w:cs="Times New Roman"/>
            </w:rPr>
            <w:t>2.3 已开展的工作概况</w:t>
          </w:r>
          <w:r>
            <w:rPr>
              <w:rFonts w:cs="Times New Roman"/>
            </w:rPr>
            <w:tab/>
          </w:r>
          <w:r>
            <w:rPr>
              <w:rFonts w:cs="Times New Roman"/>
            </w:rPr>
            <w:fldChar w:fldCharType="begin"/>
          </w:r>
          <w:r>
            <w:rPr>
              <w:rFonts w:cs="Times New Roman"/>
            </w:rPr>
            <w:instrText xml:space="preserve"> PAGEREF _Toc118098348 \h </w:instrText>
          </w:r>
          <w:r>
            <w:rPr>
              <w:rFonts w:cs="Times New Roman"/>
            </w:rPr>
            <w:fldChar w:fldCharType="separate"/>
          </w:r>
          <w:r>
            <w:rPr>
              <w:rFonts w:cs="Times New Roman"/>
            </w:rPr>
            <w:t>26</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"_Toc118098349" </w:instrText>
          </w:r>
          <w:r>
            <w:fldChar w:fldCharType="separate"/>
          </w:r>
          <w:r>
            <w:rPr>
              <w:rStyle w:val="36"/>
              <w:rFonts w:cs="Times New Roman"/>
            </w:rPr>
            <w:t>2.4 区域地下水开采利用现状情况</w:t>
          </w:r>
          <w:r>
            <w:rPr>
              <w:rFonts w:cs="Times New Roman"/>
            </w:rPr>
            <w:tab/>
          </w:r>
          <w:r>
            <w:rPr>
              <w:rFonts w:cs="Times New Roman"/>
            </w:rPr>
            <w:fldChar w:fldCharType="begin"/>
          </w:r>
          <w:r>
            <w:rPr>
              <w:rFonts w:cs="Times New Roman"/>
            </w:rPr>
            <w:instrText xml:space="preserve"> PAGEREF _Toc118098349 \h </w:instrText>
          </w:r>
          <w:r>
            <w:rPr>
              <w:rFonts w:cs="Times New Roman"/>
            </w:rPr>
            <w:fldChar w:fldCharType="separate"/>
          </w:r>
          <w:r>
            <w:rPr>
              <w:rFonts w:cs="Times New Roman"/>
            </w:rPr>
            <w:t>30</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"_Toc118098350" </w:instrText>
          </w:r>
          <w:r>
            <w:fldChar w:fldCharType="separate"/>
          </w:r>
          <w:r>
            <w:rPr>
              <w:rStyle w:val="36"/>
              <w:rFonts w:cs="Times New Roman"/>
            </w:rPr>
            <w:t>2.5 一亩泉水源地开发利用情况</w:t>
          </w:r>
          <w:r>
            <w:rPr>
              <w:rFonts w:cs="Times New Roman"/>
            </w:rPr>
            <w:tab/>
          </w:r>
          <w:r>
            <w:rPr>
              <w:rFonts w:cs="Times New Roman"/>
            </w:rPr>
            <w:fldChar w:fldCharType="begin"/>
          </w:r>
          <w:r>
            <w:rPr>
              <w:rFonts w:cs="Times New Roman"/>
            </w:rPr>
            <w:instrText xml:space="preserve"> PAGEREF _Toc118098350 \h </w:instrText>
          </w:r>
          <w:r>
            <w:rPr>
              <w:rFonts w:cs="Times New Roman"/>
            </w:rPr>
            <w:fldChar w:fldCharType="separate"/>
          </w:r>
          <w:r>
            <w:rPr>
              <w:rFonts w:cs="Times New Roman"/>
            </w:rPr>
            <w:t>33</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"_Toc118098351" </w:instrText>
          </w:r>
          <w:r>
            <w:fldChar w:fldCharType="separate"/>
          </w:r>
          <w:r>
            <w:rPr>
              <w:rStyle w:val="36"/>
              <w:rFonts w:cs="Times New Roman"/>
            </w:rPr>
            <w:t>2.5 一亩泉水源地降落漏斗区变化特征</w:t>
          </w:r>
          <w:r>
            <w:rPr>
              <w:rFonts w:cs="Times New Roman"/>
            </w:rPr>
            <w:tab/>
          </w:r>
          <w:r>
            <w:rPr>
              <w:rFonts w:cs="Times New Roman"/>
            </w:rPr>
            <w:fldChar w:fldCharType="begin"/>
          </w:r>
          <w:r>
            <w:rPr>
              <w:rFonts w:cs="Times New Roman"/>
            </w:rPr>
            <w:instrText xml:space="preserve"> PAGEREF _Toc118098351 \h </w:instrText>
          </w:r>
          <w:r>
            <w:rPr>
              <w:rFonts w:cs="Times New Roman"/>
            </w:rPr>
            <w:fldChar w:fldCharType="separate"/>
          </w:r>
          <w:r>
            <w:rPr>
              <w:rFonts w:cs="Times New Roman"/>
            </w:rPr>
            <w:t>34</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"_Toc118098352" </w:instrText>
          </w:r>
          <w:r>
            <w:fldChar w:fldCharType="separate"/>
          </w:r>
          <w:r>
            <w:rPr>
              <w:rStyle w:val="36"/>
              <w:rFonts w:cs="Times New Roman"/>
            </w:rPr>
            <w:t>2.6 一亩泉水源地区水环境状况</w:t>
          </w:r>
          <w:r>
            <w:rPr>
              <w:rFonts w:cs="Times New Roman"/>
            </w:rPr>
            <w:tab/>
          </w:r>
          <w:r>
            <w:rPr>
              <w:rFonts w:cs="Times New Roman"/>
            </w:rPr>
            <w:fldChar w:fldCharType="begin"/>
          </w:r>
          <w:r>
            <w:rPr>
              <w:rFonts w:cs="Times New Roman"/>
            </w:rPr>
            <w:instrText xml:space="preserve"> PAGEREF _Toc118098352 \h </w:instrText>
          </w:r>
          <w:r>
            <w:rPr>
              <w:rFonts w:cs="Times New Roman"/>
            </w:rPr>
            <w:fldChar w:fldCharType="separate"/>
          </w:r>
          <w:r>
            <w:rPr>
              <w:rFonts w:cs="Times New Roman"/>
            </w:rPr>
            <w:t>35</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"_Toc118098353" </w:instrText>
          </w:r>
          <w:r>
            <w:fldChar w:fldCharType="separate"/>
          </w:r>
          <w:r>
            <w:rPr>
              <w:rStyle w:val="36"/>
              <w:rFonts w:cs="Times New Roman"/>
            </w:rPr>
            <w:t>2.7 一亩泉水源地地下水环境监测情况</w:t>
          </w:r>
          <w:r>
            <w:rPr>
              <w:rFonts w:cs="Times New Roman"/>
            </w:rPr>
            <w:tab/>
          </w:r>
          <w:r>
            <w:rPr>
              <w:rFonts w:cs="Times New Roman"/>
            </w:rPr>
            <w:fldChar w:fldCharType="begin"/>
          </w:r>
          <w:r>
            <w:rPr>
              <w:rFonts w:cs="Times New Roman"/>
            </w:rPr>
            <w:instrText xml:space="preserve"> PAGEREF _Toc118098353 \h </w:instrText>
          </w:r>
          <w:r>
            <w:rPr>
              <w:rFonts w:cs="Times New Roman"/>
            </w:rPr>
            <w:fldChar w:fldCharType="separate"/>
          </w:r>
          <w:r>
            <w:rPr>
              <w:rFonts w:cs="Times New Roman"/>
            </w:rPr>
            <w:t>37</w:t>
          </w:r>
          <w:r>
            <w:rPr>
              <w:rFonts w:cs="Times New Roman"/>
            </w:rPr>
            <w:fldChar w:fldCharType="end"/>
          </w:r>
          <w:r>
            <w:rPr>
              <w:rFonts w:cs="Times New Roman"/>
            </w:rPr>
            <w:fldChar w:fldCharType="end"/>
          </w:r>
        </w:p>
        <w:p>
          <w:pPr>
            <w:pStyle w:val="21"/>
            <w:tabs>
              <w:tab w:val="right" w:leader="dot" w:pos="8296"/>
            </w:tabs>
            <w:ind w:firstLine="0" w:firstLineChars="0"/>
            <w:rPr>
              <w:sz w:val="21"/>
              <w:szCs w:val="22"/>
            </w:rPr>
          </w:pPr>
          <w:r>
            <w:fldChar w:fldCharType="begin"/>
          </w:r>
          <w:r>
            <w:instrText xml:space="preserve"> HYPERLINK \l "_Toc118098354" </w:instrText>
          </w:r>
          <w:r>
            <w:fldChar w:fldCharType="separate"/>
          </w:r>
          <w:r>
            <w:rPr>
              <w:rStyle w:val="36"/>
            </w:rPr>
            <w:t>第三章  问题诊断</w:t>
          </w:r>
          <w:r>
            <w:tab/>
          </w:r>
          <w:r>
            <w:fldChar w:fldCharType="begin"/>
          </w:r>
          <w:r>
            <w:instrText xml:space="preserve"> PAGEREF _Toc118098354 \h </w:instrText>
          </w:r>
          <w:r>
            <w:fldChar w:fldCharType="separate"/>
          </w:r>
          <w:r>
            <w:t>39</w:t>
          </w:r>
          <w:r>
            <w:fldChar w:fldCharType="end"/>
          </w:r>
          <w: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"_Toc118098355" </w:instrText>
          </w:r>
          <w:r>
            <w:fldChar w:fldCharType="separate"/>
          </w:r>
          <w:r>
            <w:rPr>
              <w:rStyle w:val="36"/>
              <w:rFonts w:cs="Times New Roman"/>
            </w:rPr>
            <w:t>3.1 以往工作发现的地下水环境状况问题</w:t>
          </w:r>
          <w:r>
            <w:rPr>
              <w:rFonts w:cs="Times New Roman"/>
            </w:rPr>
            <w:tab/>
          </w:r>
          <w:r>
            <w:rPr>
              <w:rFonts w:cs="Times New Roman"/>
            </w:rPr>
            <w:fldChar w:fldCharType="begin"/>
          </w:r>
          <w:r>
            <w:rPr>
              <w:rFonts w:cs="Times New Roman"/>
            </w:rPr>
            <w:instrText xml:space="preserve"> PAGEREF _Toc118098355 \h </w:instrText>
          </w:r>
          <w:r>
            <w:rPr>
              <w:rFonts w:cs="Times New Roman"/>
            </w:rPr>
            <w:fldChar w:fldCharType="separate"/>
          </w:r>
          <w:r>
            <w:rPr>
              <w:rFonts w:cs="Times New Roman"/>
            </w:rPr>
            <w:t>39</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"_Toc118098356" </w:instrText>
          </w:r>
          <w:r>
            <w:fldChar w:fldCharType="separate"/>
          </w:r>
          <w:r>
            <w:rPr>
              <w:rStyle w:val="36"/>
              <w:rFonts w:cs="Times New Roman"/>
            </w:rPr>
            <w:t>3.2 问题诊断与分析</w:t>
          </w:r>
          <w:r>
            <w:rPr>
              <w:rFonts w:cs="Times New Roman"/>
            </w:rPr>
            <w:tab/>
          </w:r>
          <w:r>
            <w:rPr>
              <w:rFonts w:cs="Times New Roman"/>
            </w:rPr>
            <w:fldChar w:fldCharType="begin"/>
          </w:r>
          <w:r>
            <w:rPr>
              <w:rFonts w:cs="Times New Roman"/>
            </w:rPr>
            <w:instrText xml:space="preserve"> PAGEREF _Toc118098356 \h </w:instrText>
          </w:r>
          <w:r>
            <w:rPr>
              <w:rFonts w:cs="Times New Roman"/>
            </w:rPr>
            <w:fldChar w:fldCharType="separate"/>
          </w:r>
          <w:r>
            <w:rPr>
              <w:rFonts w:cs="Times New Roman"/>
            </w:rPr>
            <w:t>47</w:t>
          </w:r>
          <w:r>
            <w:rPr>
              <w:rFonts w:cs="Times New Roman"/>
            </w:rPr>
            <w:fldChar w:fldCharType="end"/>
          </w:r>
          <w:r>
            <w:rPr>
              <w:rFonts w:cs="Times New Roman"/>
            </w:rPr>
            <w:fldChar w:fldCharType="end"/>
          </w:r>
        </w:p>
        <w:p>
          <w:pPr>
            <w:pStyle w:val="21"/>
            <w:tabs>
              <w:tab w:val="right" w:leader="dot" w:pos="8296"/>
            </w:tabs>
            <w:ind w:firstLine="0" w:firstLineChars="0"/>
            <w:rPr>
              <w:sz w:val="21"/>
              <w:szCs w:val="22"/>
            </w:rPr>
          </w:pPr>
          <w:r>
            <w:fldChar w:fldCharType="begin"/>
          </w:r>
          <w:r>
            <w:instrText xml:space="preserve"> HYPERLINK \l "_Toc118098357" </w:instrText>
          </w:r>
          <w:r>
            <w:fldChar w:fldCharType="separate"/>
          </w:r>
          <w:r>
            <w:rPr>
              <w:rStyle w:val="36"/>
            </w:rPr>
            <w:t>第四章  技术路线及措施</w:t>
          </w:r>
          <w:r>
            <w:tab/>
          </w:r>
          <w:r>
            <w:fldChar w:fldCharType="begin"/>
          </w:r>
          <w:r>
            <w:instrText xml:space="preserve"> PAGEREF _Toc118098357 \h </w:instrText>
          </w:r>
          <w:r>
            <w:fldChar w:fldCharType="separate"/>
          </w:r>
          <w:r>
            <w:t>51</w:t>
          </w:r>
          <w:r>
            <w:fldChar w:fldCharType="end"/>
          </w:r>
          <w: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"_Toc118098358" </w:instrText>
          </w:r>
          <w:r>
            <w:fldChar w:fldCharType="separate"/>
          </w:r>
          <w:r>
            <w:rPr>
              <w:rStyle w:val="36"/>
              <w:rFonts w:cs="Times New Roman"/>
            </w:rPr>
            <w:t>4.1技术路线</w:t>
          </w:r>
          <w:r>
            <w:rPr>
              <w:rFonts w:cs="Times New Roman"/>
            </w:rPr>
            <w:tab/>
          </w:r>
          <w:r>
            <w:rPr>
              <w:rFonts w:cs="Times New Roman"/>
            </w:rPr>
            <w:fldChar w:fldCharType="begin"/>
          </w:r>
          <w:r>
            <w:rPr>
              <w:rFonts w:cs="Times New Roman"/>
            </w:rPr>
            <w:instrText xml:space="preserve"> PAGEREF _Toc118098358 \h </w:instrText>
          </w:r>
          <w:r>
            <w:rPr>
              <w:rFonts w:cs="Times New Roman"/>
            </w:rPr>
            <w:fldChar w:fldCharType="separate"/>
          </w:r>
          <w:r>
            <w:rPr>
              <w:rFonts w:cs="Times New Roman"/>
            </w:rPr>
            <w:t>51</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"_Toc118098359" </w:instrText>
          </w:r>
          <w:r>
            <w:fldChar w:fldCharType="separate"/>
          </w:r>
          <w:r>
            <w:rPr>
              <w:rStyle w:val="36"/>
              <w:rFonts w:cs="Times New Roman"/>
            </w:rPr>
            <w:t>4.2 工作部署</w:t>
          </w:r>
          <w:r>
            <w:rPr>
              <w:rFonts w:cs="Times New Roman"/>
            </w:rPr>
            <w:tab/>
          </w:r>
          <w:r>
            <w:rPr>
              <w:rFonts w:cs="Times New Roman"/>
            </w:rPr>
            <w:fldChar w:fldCharType="begin"/>
          </w:r>
          <w:r>
            <w:rPr>
              <w:rFonts w:cs="Times New Roman"/>
            </w:rPr>
            <w:instrText xml:space="preserve"> PAGEREF _Toc118098359 \h </w:instrText>
          </w:r>
          <w:r>
            <w:rPr>
              <w:rFonts w:cs="Times New Roman"/>
            </w:rPr>
            <w:fldChar w:fldCharType="separate"/>
          </w:r>
          <w:r>
            <w:rPr>
              <w:rFonts w:cs="Times New Roman"/>
            </w:rPr>
            <w:t>53</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"_Toc118098360" </w:instrText>
          </w:r>
          <w:r>
            <w:fldChar w:fldCharType="separate"/>
          </w:r>
          <w:r>
            <w:rPr>
              <w:rStyle w:val="36"/>
              <w:rFonts w:cs="Times New Roman"/>
            </w:rPr>
            <w:t>4.3 工作量</w:t>
          </w:r>
          <w:r>
            <w:rPr>
              <w:rFonts w:cs="Times New Roman"/>
            </w:rPr>
            <w:tab/>
          </w:r>
          <w:r>
            <w:rPr>
              <w:rFonts w:cs="Times New Roman"/>
            </w:rPr>
            <w:fldChar w:fldCharType="begin"/>
          </w:r>
          <w:r>
            <w:rPr>
              <w:rFonts w:cs="Times New Roman"/>
            </w:rPr>
            <w:instrText xml:space="preserve"> PAGEREF _Toc118098360 \h </w:instrText>
          </w:r>
          <w:r>
            <w:rPr>
              <w:rFonts w:cs="Times New Roman"/>
            </w:rPr>
            <w:fldChar w:fldCharType="separate"/>
          </w:r>
          <w:r>
            <w:rPr>
              <w:rFonts w:cs="Times New Roman"/>
            </w:rPr>
            <w:t>71</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"_Toc118098361" </w:instrText>
          </w:r>
          <w:r>
            <w:fldChar w:fldCharType="separate"/>
          </w:r>
          <w:r>
            <w:rPr>
              <w:rStyle w:val="36"/>
              <w:rFonts w:cs="Times New Roman"/>
            </w:rPr>
            <w:t>4.4 预期成果</w:t>
          </w:r>
          <w:r>
            <w:rPr>
              <w:rFonts w:cs="Times New Roman"/>
            </w:rPr>
            <w:tab/>
          </w:r>
          <w:r>
            <w:rPr>
              <w:rFonts w:cs="Times New Roman"/>
            </w:rPr>
            <w:fldChar w:fldCharType="begin"/>
          </w:r>
          <w:r>
            <w:rPr>
              <w:rFonts w:cs="Times New Roman"/>
            </w:rPr>
            <w:instrText xml:space="preserve"> PAGEREF _Toc118098361 \h </w:instrText>
          </w:r>
          <w:r>
            <w:rPr>
              <w:rFonts w:cs="Times New Roman"/>
            </w:rPr>
            <w:fldChar w:fldCharType="separate"/>
          </w:r>
          <w:r>
            <w:rPr>
              <w:rFonts w:cs="Times New Roman"/>
            </w:rPr>
            <w:t>72</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"_Toc118098362" </w:instrText>
          </w:r>
          <w:r>
            <w:fldChar w:fldCharType="separate"/>
          </w:r>
          <w:r>
            <w:rPr>
              <w:rStyle w:val="36"/>
              <w:rFonts w:cs="Times New Roman"/>
            </w:rPr>
            <w:t>4.5 组织实施</w:t>
          </w:r>
          <w:r>
            <w:rPr>
              <w:rFonts w:cs="Times New Roman"/>
            </w:rPr>
            <w:tab/>
          </w:r>
          <w:r>
            <w:rPr>
              <w:rFonts w:cs="Times New Roman"/>
            </w:rPr>
            <w:fldChar w:fldCharType="begin"/>
          </w:r>
          <w:r>
            <w:rPr>
              <w:rFonts w:cs="Times New Roman"/>
            </w:rPr>
            <w:instrText xml:space="preserve"> PAGEREF _Toc118098362 \h </w:instrText>
          </w:r>
          <w:r>
            <w:rPr>
              <w:rFonts w:cs="Times New Roman"/>
            </w:rPr>
            <w:fldChar w:fldCharType="separate"/>
          </w:r>
          <w:r>
            <w:rPr>
              <w:rFonts w:cs="Times New Roman"/>
            </w:rPr>
            <w:t>73</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"_Toc118098363" </w:instrText>
          </w:r>
          <w:r>
            <w:fldChar w:fldCharType="separate"/>
          </w:r>
          <w:r>
            <w:rPr>
              <w:rStyle w:val="36"/>
              <w:rFonts w:cs="Times New Roman"/>
            </w:rPr>
            <w:t>4.6 实施进度计划</w:t>
          </w:r>
          <w:r>
            <w:rPr>
              <w:rFonts w:cs="Times New Roman"/>
            </w:rPr>
            <w:tab/>
          </w:r>
          <w:r>
            <w:rPr>
              <w:rFonts w:cs="Times New Roman"/>
            </w:rPr>
            <w:fldChar w:fldCharType="begin"/>
          </w:r>
          <w:r>
            <w:rPr>
              <w:rFonts w:cs="Times New Roman"/>
            </w:rPr>
            <w:instrText xml:space="preserve"> PAGEREF _Toc118098363 \h </w:instrText>
          </w:r>
          <w:r>
            <w:rPr>
              <w:rFonts w:cs="Times New Roman"/>
            </w:rPr>
            <w:fldChar w:fldCharType="separate"/>
          </w:r>
          <w:r>
            <w:rPr>
              <w:rFonts w:cs="Times New Roman"/>
            </w:rPr>
            <w:t>74</w:t>
          </w:r>
          <w:r>
            <w:rPr>
              <w:rFonts w:cs="Times New Roman"/>
            </w:rPr>
            <w:fldChar w:fldCharType="end"/>
          </w:r>
          <w:r>
            <w:rPr>
              <w:rFonts w:cs="Times New Roman"/>
            </w:rPr>
            <w:fldChar w:fldCharType="end"/>
          </w:r>
        </w:p>
        <w:p>
          <w:pPr>
            <w:pStyle w:val="21"/>
            <w:tabs>
              <w:tab w:val="right" w:leader="dot" w:pos="8296"/>
            </w:tabs>
            <w:ind w:firstLine="0" w:firstLineChars="0"/>
            <w:rPr>
              <w:sz w:val="21"/>
              <w:szCs w:val="22"/>
            </w:rPr>
          </w:pPr>
          <w:r>
            <w:fldChar w:fldCharType="begin"/>
          </w:r>
          <w:r>
            <w:instrText xml:space="preserve"> HYPERLINK \l "_Toc118098364" </w:instrText>
          </w:r>
          <w:r>
            <w:fldChar w:fldCharType="separate"/>
          </w:r>
          <w:r>
            <w:rPr>
              <w:rStyle w:val="36"/>
            </w:rPr>
            <w:t>第五章  绩效目标与可达性分析</w:t>
          </w:r>
          <w:r>
            <w:tab/>
          </w:r>
          <w:r>
            <w:fldChar w:fldCharType="begin"/>
          </w:r>
          <w:r>
            <w:instrText xml:space="preserve"> PAGEREF _Toc118098364 \h </w:instrText>
          </w:r>
          <w:r>
            <w:fldChar w:fldCharType="separate"/>
          </w:r>
          <w:r>
            <w:t>76</w:t>
          </w:r>
          <w:r>
            <w:fldChar w:fldCharType="end"/>
          </w:r>
          <w: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"_Toc118098365" </w:instrText>
          </w:r>
          <w:r>
            <w:fldChar w:fldCharType="separate"/>
          </w:r>
          <w:r>
            <w:rPr>
              <w:rStyle w:val="36"/>
              <w:rFonts w:cs="Times New Roman"/>
            </w:rPr>
            <w:t>5.1 绩效目标</w:t>
          </w:r>
          <w:r>
            <w:rPr>
              <w:rFonts w:cs="Times New Roman"/>
            </w:rPr>
            <w:tab/>
          </w:r>
          <w:r>
            <w:rPr>
              <w:rFonts w:cs="Times New Roman"/>
            </w:rPr>
            <w:fldChar w:fldCharType="begin"/>
          </w:r>
          <w:r>
            <w:rPr>
              <w:rFonts w:cs="Times New Roman"/>
            </w:rPr>
            <w:instrText xml:space="preserve"> PAGEREF _Toc118098365 \h </w:instrText>
          </w:r>
          <w:r>
            <w:rPr>
              <w:rFonts w:cs="Times New Roman"/>
            </w:rPr>
            <w:fldChar w:fldCharType="separate"/>
          </w:r>
          <w:r>
            <w:rPr>
              <w:rFonts w:cs="Times New Roman"/>
            </w:rPr>
            <w:t>76</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"_Toc118098366" </w:instrText>
          </w:r>
          <w:r>
            <w:fldChar w:fldCharType="separate"/>
          </w:r>
          <w:r>
            <w:rPr>
              <w:rStyle w:val="36"/>
              <w:rFonts w:cs="Times New Roman"/>
            </w:rPr>
            <w:t>5.2 风险分析</w:t>
          </w:r>
          <w:r>
            <w:rPr>
              <w:rFonts w:cs="Times New Roman"/>
            </w:rPr>
            <w:tab/>
          </w:r>
          <w:r>
            <w:rPr>
              <w:rFonts w:cs="Times New Roman"/>
            </w:rPr>
            <w:fldChar w:fldCharType="begin"/>
          </w:r>
          <w:r>
            <w:rPr>
              <w:rFonts w:cs="Times New Roman"/>
            </w:rPr>
            <w:instrText xml:space="preserve"> PAGEREF _Toc118098366 \h </w:instrText>
          </w:r>
          <w:r>
            <w:rPr>
              <w:rFonts w:cs="Times New Roman"/>
            </w:rPr>
            <w:fldChar w:fldCharType="separate"/>
          </w:r>
          <w:r>
            <w:rPr>
              <w:rFonts w:cs="Times New Roman"/>
            </w:rPr>
            <w:t>77</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"_Toc118098367" </w:instrText>
          </w:r>
          <w:r>
            <w:fldChar w:fldCharType="separate"/>
          </w:r>
          <w:r>
            <w:rPr>
              <w:rStyle w:val="36"/>
              <w:rFonts w:cs="Times New Roman"/>
            </w:rPr>
            <w:t>5.3 绩效目标可达性分析</w:t>
          </w:r>
          <w:r>
            <w:rPr>
              <w:rFonts w:cs="Times New Roman"/>
            </w:rPr>
            <w:tab/>
          </w:r>
          <w:r>
            <w:rPr>
              <w:rFonts w:cs="Times New Roman"/>
            </w:rPr>
            <w:fldChar w:fldCharType="begin"/>
          </w:r>
          <w:r>
            <w:rPr>
              <w:rFonts w:cs="Times New Roman"/>
            </w:rPr>
            <w:instrText xml:space="preserve"> PAGEREF _Toc118098367 \h </w:instrText>
          </w:r>
          <w:r>
            <w:rPr>
              <w:rFonts w:cs="Times New Roman"/>
            </w:rPr>
            <w:fldChar w:fldCharType="separate"/>
          </w:r>
          <w:r>
            <w:rPr>
              <w:rFonts w:cs="Times New Roman"/>
            </w:rPr>
            <w:t>79</w:t>
          </w:r>
          <w:r>
            <w:rPr>
              <w:rFonts w:cs="Times New Roman"/>
            </w:rPr>
            <w:fldChar w:fldCharType="end"/>
          </w:r>
          <w:r>
            <w:rPr>
              <w:rFonts w:cs="Times New Roman"/>
            </w:rPr>
            <w:fldChar w:fldCharType="end"/>
          </w:r>
        </w:p>
        <w:p>
          <w:pPr>
            <w:pStyle w:val="21"/>
            <w:tabs>
              <w:tab w:val="right" w:leader="dot" w:pos="8296"/>
            </w:tabs>
            <w:ind w:firstLine="0" w:firstLineChars="0"/>
            <w:rPr>
              <w:sz w:val="21"/>
              <w:szCs w:val="22"/>
            </w:rPr>
          </w:pPr>
          <w:r>
            <w:fldChar w:fldCharType="begin"/>
          </w:r>
          <w:r>
            <w:instrText xml:space="preserve"> HYPERLINK \l "_Toc118098368" </w:instrText>
          </w:r>
          <w:r>
            <w:fldChar w:fldCharType="separate"/>
          </w:r>
          <w:r>
            <w:rPr>
              <w:rStyle w:val="36"/>
            </w:rPr>
            <w:t>第六章  投资估算</w:t>
          </w:r>
          <w:r>
            <w:tab/>
          </w:r>
          <w:r>
            <w:fldChar w:fldCharType="begin"/>
          </w:r>
          <w:r>
            <w:instrText xml:space="preserve"> PAGEREF _Toc118098368 \h </w:instrText>
          </w:r>
          <w:r>
            <w:fldChar w:fldCharType="separate"/>
          </w:r>
          <w:r>
            <w:t>82</w:t>
          </w:r>
          <w:r>
            <w:fldChar w:fldCharType="end"/>
          </w:r>
          <w: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"_Toc118098369" </w:instrText>
          </w:r>
          <w:r>
            <w:fldChar w:fldCharType="separate"/>
          </w:r>
          <w:r>
            <w:rPr>
              <w:rStyle w:val="36"/>
              <w:rFonts w:cs="Times New Roman"/>
            </w:rPr>
            <w:t>6.1投资估算依据</w:t>
          </w:r>
          <w:r>
            <w:rPr>
              <w:rFonts w:cs="Times New Roman"/>
            </w:rPr>
            <w:tab/>
          </w:r>
          <w:r>
            <w:rPr>
              <w:rFonts w:cs="Times New Roman"/>
            </w:rPr>
            <w:fldChar w:fldCharType="begin"/>
          </w:r>
          <w:r>
            <w:rPr>
              <w:rFonts w:cs="Times New Roman"/>
            </w:rPr>
            <w:instrText xml:space="preserve"> PAGEREF _Toc118098369 \h </w:instrText>
          </w:r>
          <w:r>
            <w:rPr>
              <w:rFonts w:cs="Times New Roman"/>
            </w:rPr>
            <w:fldChar w:fldCharType="separate"/>
          </w:r>
          <w:r>
            <w:rPr>
              <w:rFonts w:cs="Times New Roman"/>
            </w:rPr>
            <w:t>82</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"_Toc118098370" </w:instrText>
          </w:r>
          <w:r>
            <w:fldChar w:fldCharType="separate"/>
          </w:r>
          <w:r>
            <w:rPr>
              <w:rStyle w:val="36"/>
              <w:rFonts w:cs="Times New Roman"/>
            </w:rPr>
            <w:t>6.2投资估算及说明</w:t>
          </w:r>
          <w:r>
            <w:rPr>
              <w:rFonts w:cs="Times New Roman"/>
            </w:rPr>
            <w:tab/>
          </w:r>
          <w:r>
            <w:rPr>
              <w:rFonts w:cs="Times New Roman"/>
            </w:rPr>
            <w:fldChar w:fldCharType="begin"/>
          </w:r>
          <w:r>
            <w:rPr>
              <w:rFonts w:cs="Times New Roman"/>
            </w:rPr>
            <w:instrText xml:space="preserve"> PAGEREF _Toc118098370 \h </w:instrText>
          </w:r>
          <w:r>
            <w:rPr>
              <w:rFonts w:cs="Times New Roman"/>
            </w:rPr>
            <w:fldChar w:fldCharType="separate"/>
          </w:r>
          <w:r>
            <w:rPr>
              <w:rFonts w:cs="Times New Roman"/>
            </w:rPr>
            <w:t>82</w:t>
          </w:r>
          <w:r>
            <w:rPr>
              <w:rFonts w:cs="Times New Roman"/>
            </w:rPr>
            <w:fldChar w:fldCharType="end"/>
          </w:r>
          <w:r>
            <w:rPr>
              <w:rFonts w:cs="Times New Roman"/>
            </w:rPr>
            <w:fldChar w:fldCharType="end"/>
          </w:r>
        </w:p>
        <w:p>
          <w:pPr>
            <w:pStyle w:val="25"/>
            <w:tabs>
              <w:tab w:val="right" w:leader="dot" w:pos="8296"/>
            </w:tabs>
            <w:ind w:left="0" w:leftChars="0" w:firstLine="560"/>
            <w:rPr>
              <w:rFonts w:cs="Times New Roman"/>
              <w:sz w:val="21"/>
            </w:rPr>
          </w:pPr>
          <w:r>
            <w:fldChar w:fldCharType="begin"/>
          </w:r>
          <w:r>
            <w:instrText xml:space="preserve"> HYPERLINK \l "_Toc118098371" </w:instrText>
          </w:r>
          <w:r>
            <w:fldChar w:fldCharType="separate"/>
          </w:r>
          <w:r>
            <w:rPr>
              <w:rStyle w:val="36"/>
              <w:rFonts w:cs="Times New Roman"/>
            </w:rPr>
            <w:t>6.3资金筹措机制</w:t>
          </w:r>
          <w:r>
            <w:rPr>
              <w:rFonts w:cs="Times New Roman"/>
            </w:rPr>
            <w:tab/>
          </w:r>
          <w:r>
            <w:rPr>
              <w:rFonts w:cs="Times New Roman"/>
            </w:rPr>
            <w:fldChar w:fldCharType="begin"/>
          </w:r>
          <w:r>
            <w:rPr>
              <w:rFonts w:cs="Times New Roman"/>
            </w:rPr>
            <w:instrText xml:space="preserve"> PAGEREF _Toc118098371 \h </w:instrText>
          </w:r>
          <w:r>
            <w:rPr>
              <w:rFonts w:cs="Times New Roman"/>
            </w:rPr>
            <w:fldChar w:fldCharType="separate"/>
          </w:r>
          <w:r>
            <w:rPr>
              <w:rFonts w:cs="Times New Roman"/>
            </w:rPr>
            <w:t>88</w:t>
          </w:r>
          <w:r>
            <w:rPr>
              <w:rFonts w:cs="Times New Roman"/>
            </w:rPr>
            <w:fldChar w:fldCharType="end"/>
          </w:r>
          <w:r>
            <w:rPr>
              <w:rFonts w:cs="Times New Roman"/>
            </w:rPr>
            <w:fldChar w:fldCharType="end"/>
          </w:r>
        </w:p>
        <w:p>
          <w:pPr>
            <w:pStyle w:val="21"/>
            <w:tabs>
              <w:tab w:val="right" w:leader="dot" w:pos="8296"/>
            </w:tabs>
            <w:ind w:firstLine="0" w:firstLineChars="0"/>
            <w:rPr>
              <w:sz w:val="21"/>
              <w:szCs w:val="22"/>
            </w:rPr>
          </w:pPr>
          <w:r>
            <w:fldChar w:fldCharType="begin"/>
          </w:r>
          <w:r>
            <w:instrText xml:space="preserve"> HYPERLINK \l "_Toc118098372" </w:instrText>
          </w:r>
          <w:r>
            <w:fldChar w:fldCharType="separate"/>
          </w:r>
          <w:r>
            <w:rPr>
              <w:rStyle w:val="36"/>
            </w:rPr>
            <w:t>项目绩效目标申报表</w:t>
          </w:r>
          <w:r>
            <w:tab/>
          </w:r>
          <w:r>
            <w:fldChar w:fldCharType="begin"/>
          </w:r>
          <w:r>
            <w:instrText xml:space="preserve"> PAGEREF _Toc118098372 \h </w:instrText>
          </w:r>
          <w:r>
            <w:fldChar w:fldCharType="separate"/>
          </w:r>
          <w:r>
            <w:t>89</w:t>
          </w:r>
          <w:r>
            <w:fldChar w:fldCharType="end"/>
          </w:r>
          <w:r>
            <w:fldChar w:fldCharType="end"/>
          </w:r>
        </w:p>
        <w:p>
          <w:pPr>
            <w:spacing w:line="240" w:lineRule="auto"/>
            <w:ind w:firstLine="0" w:firstLineChars="0"/>
            <w:jc w:val="center"/>
          </w:pPr>
          <w:r>
            <w:rPr>
              <w:b/>
            </w:rPr>
            <w:fldChar w:fldCharType="end"/>
          </w:r>
        </w:p>
      </w:sdtContent>
    </w:sdt>
    <w:p>
      <w:pPr>
        <w:tabs>
          <w:tab w:val="left" w:pos="1787"/>
        </w:tabs>
        <w:ind w:firstLine="560"/>
        <w:jc w:val="left"/>
        <w:sectPr>
          <w:footerReference r:id="rId11" w:type="default"/>
          <w:pgSz w:w="11906" w:h="16838"/>
          <w:pgMar w:top="1440" w:right="1800" w:bottom="1440" w:left="1800" w:header="851" w:footer="992" w:gutter="0"/>
          <w:pgNumType w:start="1"/>
          <w:cols w:space="425" w:num="1"/>
          <w:docGrid w:type="lines" w:linePitch="312" w:charSpace="0"/>
        </w:sectPr>
      </w:pPr>
      <w:r>
        <w:rPr>
          <w:rFonts w:hint="eastAsia"/>
        </w:rPr>
        <w:tab/>
      </w:r>
    </w:p>
    <w:p>
      <w:pPr>
        <w:pStyle w:val="3"/>
      </w:pPr>
      <w:bookmarkStart w:id="49" w:name="_Toc118098341"/>
      <w:r>
        <w:rPr>
          <w:rFonts w:hint="eastAsia"/>
        </w:rPr>
        <w:t>第一章  项目概况</w:t>
      </w:r>
      <w:bookmarkEnd w:id="49"/>
    </w:p>
    <w:p>
      <w:pPr>
        <w:pStyle w:val="5"/>
        <w:ind w:firstLine="602"/>
        <w:rPr>
          <w:b/>
          <w:bCs/>
        </w:rPr>
      </w:pPr>
      <w:bookmarkStart w:id="50" w:name="_Toc118098342"/>
      <w:r>
        <w:rPr>
          <w:rFonts w:hint="eastAsia"/>
          <w:b/>
          <w:bCs/>
        </w:rPr>
        <w:t>1.1 项目基本信息</w:t>
      </w:r>
      <w:bookmarkEnd w:id="50"/>
    </w:p>
    <w:p>
      <w:pPr>
        <w:pStyle w:val="6"/>
        <w:spacing w:before="156" w:after="156"/>
        <w:ind w:firstLine="562"/>
      </w:pPr>
      <w:r>
        <w:rPr>
          <w:rFonts w:hint="eastAsia"/>
        </w:rPr>
        <w:t>1.1.1 项目基本情况</w:t>
      </w:r>
    </w:p>
    <w:p>
      <w:pPr>
        <w:ind w:firstLine="562"/>
        <w:rPr>
          <w:rFonts w:cs="Times New Roman"/>
          <w:szCs w:val="28"/>
        </w:rPr>
      </w:pPr>
      <w:r>
        <w:rPr>
          <w:rFonts w:cs="Times New Roman"/>
          <w:b/>
          <w:bCs/>
          <w:szCs w:val="28"/>
        </w:rPr>
        <w:t>项目名称：</w:t>
      </w:r>
      <w:r>
        <w:rPr>
          <w:rFonts w:cs="Times New Roman"/>
          <w:szCs w:val="28"/>
        </w:rPr>
        <w:t>保定市一亩泉地下水型集中式生活饮用水水源地地下水环境状况详细调查与评估。</w:t>
      </w:r>
    </w:p>
    <w:p>
      <w:pPr>
        <w:ind w:firstLine="562"/>
        <w:rPr>
          <w:rFonts w:cs="Times New Roman"/>
          <w:szCs w:val="28"/>
        </w:rPr>
      </w:pPr>
      <w:r>
        <w:rPr>
          <w:rFonts w:hint="eastAsia" w:cs="Times New Roman"/>
          <w:b/>
          <w:bCs/>
          <w:szCs w:val="28"/>
        </w:rPr>
        <w:t>工作范围：</w:t>
      </w:r>
      <w:r>
        <w:rPr>
          <w:rFonts w:cs="Times New Roman"/>
          <w:szCs w:val="28"/>
        </w:rPr>
        <w:t>工作区位于</w:t>
      </w:r>
      <w:r>
        <w:rPr>
          <w:rFonts w:hint="eastAsia" w:cs="Times New Roman"/>
          <w:szCs w:val="28"/>
        </w:rPr>
        <w:t>河北省</w:t>
      </w:r>
      <w:r>
        <w:rPr>
          <w:rFonts w:cs="Times New Roman"/>
          <w:szCs w:val="28"/>
        </w:rPr>
        <w:t>保定市满城区和竞秀区，</w:t>
      </w:r>
      <w:r>
        <w:rPr>
          <w:rFonts w:hint="eastAsia" w:cs="Times New Roman"/>
          <w:szCs w:val="28"/>
        </w:rPr>
        <w:t>主体为</w:t>
      </w:r>
      <w:r>
        <w:rPr>
          <w:rFonts w:cs="Times New Roman"/>
          <w:szCs w:val="28"/>
        </w:rPr>
        <w:t>一亩泉水源地保护区及补给区</w:t>
      </w:r>
      <w:r>
        <w:rPr>
          <w:rFonts w:hint="eastAsia" w:cs="Times New Roman"/>
          <w:szCs w:val="28"/>
        </w:rPr>
        <w:t>及周边重点污染源隐患区</w:t>
      </w:r>
      <w:r>
        <w:rPr>
          <w:rFonts w:cs="Times New Roman"/>
          <w:szCs w:val="28"/>
        </w:rPr>
        <w:t>，总面积188.11km²</w:t>
      </w:r>
      <w:r>
        <w:rPr>
          <w:rFonts w:hint="eastAsia" w:cs="Times New Roman"/>
          <w:szCs w:val="28"/>
        </w:rPr>
        <w:t>，</w:t>
      </w:r>
      <w:r>
        <w:rPr>
          <w:rFonts w:cs="Times New Roman"/>
          <w:szCs w:val="28"/>
        </w:rPr>
        <w:t>其中</w:t>
      </w:r>
      <w:r>
        <w:rPr>
          <w:rFonts w:hint="eastAsia" w:cs="Times New Roman"/>
          <w:szCs w:val="28"/>
        </w:rPr>
        <w:t>以</w:t>
      </w:r>
      <w:r>
        <w:rPr>
          <w:rFonts w:cs="Times New Roman"/>
          <w:szCs w:val="28"/>
        </w:rPr>
        <w:t>发现水质指标</w:t>
      </w:r>
      <w:r>
        <w:rPr>
          <w:rFonts w:hint="eastAsia" w:cs="Times New Roman"/>
          <w:szCs w:val="28"/>
        </w:rPr>
        <w:t>超标监测点为中心，向周边扩展1</w:t>
      </w:r>
      <w:r>
        <w:rPr>
          <w:rFonts w:cs="Times New Roman"/>
          <w:szCs w:val="28"/>
        </w:rPr>
        <w:t>000</w:t>
      </w:r>
      <w:r>
        <w:rPr>
          <w:rFonts w:hint="eastAsia" w:cs="Times New Roman"/>
          <w:szCs w:val="28"/>
        </w:rPr>
        <w:t>m圈定的区域作为</w:t>
      </w:r>
      <w:r>
        <w:rPr>
          <w:rFonts w:cs="Times New Roman"/>
          <w:szCs w:val="28"/>
        </w:rPr>
        <w:t>重点区域范围</w:t>
      </w:r>
      <w:r>
        <w:rPr>
          <w:rFonts w:hint="eastAsia" w:cs="Times New Roman"/>
          <w:szCs w:val="28"/>
        </w:rPr>
        <w:t>，</w:t>
      </w:r>
      <w:r>
        <w:rPr>
          <w:rFonts w:cs="Times New Roman"/>
          <w:szCs w:val="28"/>
        </w:rPr>
        <w:t>共计80km</w:t>
      </w:r>
      <w:r>
        <w:rPr>
          <w:rFonts w:cs="Times New Roman"/>
          <w:szCs w:val="28"/>
          <w:vertAlign w:val="superscript"/>
        </w:rPr>
        <w:t>2</w:t>
      </w:r>
      <w:r>
        <w:rPr>
          <w:rFonts w:cs="Times New Roman"/>
          <w:szCs w:val="28"/>
        </w:rPr>
        <w:t>。</w:t>
      </w:r>
    </w:p>
    <w:p>
      <w:pPr>
        <w:pStyle w:val="6"/>
        <w:spacing w:before="156" w:after="156"/>
        <w:ind w:firstLine="562"/>
      </w:pPr>
      <w:r>
        <w:rPr>
          <w:rFonts w:hint="eastAsia"/>
        </w:rPr>
        <w:t>1.1.2 建设内容与目标</w:t>
      </w:r>
    </w:p>
    <w:p>
      <w:pPr>
        <w:ind w:firstLine="560"/>
      </w:pPr>
      <w:r>
        <w:rPr>
          <w:rFonts w:hint="eastAsia"/>
        </w:rPr>
        <w:t>通过系统开展保定市一亩泉地下水型集中式生活饮用水水源地地下水环境状况详细调查，全面掌握水源地补给区和保护区范围内的地下水水质及地下水污染状况，识别对水源地存在污染或潜在污染的重要污染源（工业污染源、农业污染源、加油站等），补充和完善一亩泉水源地地下水环境监测体系，查明重点调查区内地下水污染物种类、主要来源、污染途径、污染程度和空间分布以及地下水污染状况随时间的变化趋势等，分析污染源与地下水污染之间的联系，判断地下水污染趋势和健康风险，为科学判定一亩泉水源地生态环境保护的薄弱点和关键环节、明确地下水污染防治目标以及推动地下水精准治污提供技术依据，切实保障饮用水水源地环境安全，为后续实施一亩泉水源地地下水重点污染源源头预防和管控修复工程、遏制水源污染提供基础支撑。</w:t>
      </w:r>
    </w:p>
    <w:p>
      <w:pPr>
        <w:pStyle w:val="6"/>
        <w:spacing w:before="156" w:after="156"/>
        <w:ind w:firstLine="562"/>
      </w:pPr>
      <w:r>
        <w:rPr>
          <w:rFonts w:hint="eastAsia"/>
        </w:rPr>
        <w:t>1.1.3 建设周期</w:t>
      </w:r>
    </w:p>
    <w:p>
      <w:pPr>
        <w:ind w:firstLine="560"/>
      </w:pPr>
      <w:r>
        <w:rPr>
          <w:rFonts w:hint="eastAsia"/>
        </w:rPr>
        <w:t>项目实施周期2年，预计2023年</w:t>
      </w:r>
      <w:r>
        <w:rPr>
          <w:rFonts w:hint="eastAsia"/>
          <w:lang w:val="en-US" w:eastAsia="zh-CN"/>
        </w:rPr>
        <w:t>10</w:t>
      </w:r>
      <w:r>
        <w:rPr>
          <w:rFonts w:hint="eastAsia"/>
        </w:rPr>
        <w:t>月至202</w:t>
      </w:r>
      <w:r>
        <w:rPr>
          <w:rFonts w:hint="eastAsia"/>
          <w:lang w:val="en-US" w:eastAsia="zh-CN"/>
        </w:rPr>
        <w:t>5</w:t>
      </w:r>
      <w:r>
        <w:rPr>
          <w:rFonts w:hint="eastAsia"/>
        </w:rPr>
        <w:t>年</w:t>
      </w:r>
      <w:r>
        <w:rPr>
          <w:rFonts w:hint="eastAsia"/>
          <w:lang w:val="en-US" w:eastAsia="zh-CN"/>
        </w:rPr>
        <w:t>10</w:t>
      </w:r>
      <w:bookmarkStart w:id="107" w:name="_GoBack"/>
      <w:bookmarkEnd w:id="107"/>
      <w:r>
        <w:rPr>
          <w:rFonts w:hint="eastAsia"/>
        </w:rPr>
        <w:t>月。</w:t>
      </w:r>
    </w:p>
    <w:p>
      <w:pPr>
        <w:pStyle w:val="6"/>
        <w:spacing w:before="156" w:after="156"/>
        <w:ind w:firstLine="562"/>
      </w:pPr>
      <w:r>
        <w:t>1.</w:t>
      </w:r>
      <w:r>
        <w:rPr>
          <w:rFonts w:hint="eastAsia"/>
        </w:rPr>
        <w:t>1</w:t>
      </w:r>
      <w:r>
        <w:t>.</w:t>
      </w:r>
      <w:r>
        <w:rPr>
          <w:rFonts w:hint="eastAsia"/>
        </w:rPr>
        <w:t>4</w:t>
      </w:r>
      <w:r>
        <w:t xml:space="preserve"> 项目资金</w:t>
      </w:r>
    </w:p>
    <w:p>
      <w:pPr>
        <w:ind w:firstLine="560"/>
      </w:pPr>
      <w:r>
        <w:rPr>
          <w:rFonts w:cs="Times New Roman"/>
          <w:szCs w:val="28"/>
        </w:rPr>
        <w:t>保定市一亩泉地下水型集中式生活饮用水水源地地下水环境状况详细调查与评估</w:t>
      </w:r>
      <w:r>
        <w:rPr>
          <w:rFonts w:hint="eastAsia" w:cs="Times New Roman"/>
          <w:szCs w:val="28"/>
        </w:rPr>
        <w:t>项目所需总资金概算1480万元，其中申请中央水污染防治资金1302.4万元（占总投资的88%），地方配套资金177.6万元（占总投资的12%）</w:t>
      </w:r>
      <w:r>
        <w:rPr>
          <w:rFonts w:cs="Times New Roman"/>
          <w:szCs w:val="28"/>
        </w:rPr>
        <w:t>。</w:t>
      </w:r>
      <w:r>
        <w:rPr>
          <w:rFonts w:hint="eastAsia" w:cs="Times New Roman"/>
          <w:szCs w:val="28"/>
        </w:rPr>
        <w:t>第一年度经费投资概算1050万元，第二年度经费投资概算430万元。</w:t>
      </w:r>
    </w:p>
    <w:p>
      <w:pPr>
        <w:pStyle w:val="5"/>
        <w:ind w:firstLine="602"/>
        <w:rPr>
          <w:b/>
          <w:bCs/>
        </w:rPr>
      </w:pPr>
      <w:bookmarkStart w:id="51" w:name="_Toc118098343"/>
      <w:r>
        <w:rPr>
          <w:rFonts w:hint="eastAsia"/>
          <w:b/>
          <w:bCs/>
        </w:rPr>
        <w:t>1.2 项目背景及实施的必要性</w:t>
      </w:r>
      <w:bookmarkEnd w:id="51"/>
    </w:p>
    <w:p>
      <w:pPr>
        <w:pStyle w:val="6"/>
        <w:spacing w:before="156" w:after="156"/>
        <w:ind w:firstLine="561"/>
        <w:rPr>
          <w:rFonts w:eastAsia="华文仿宋"/>
        </w:rPr>
      </w:pPr>
      <w:r>
        <w:rPr>
          <w:rFonts w:hint="eastAsia" w:eastAsia="华文仿宋"/>
        </w:rPr>
        <w:t xml:space="preserve">1.2.1 </w:t>
      </w:r>
      <w:r>
        <w:rPr>
          <w:rFonts w:hint="eastAsia"/>
          <w:szCs w:val="28"/>
        </w:rPr>
        <w:t>项目申报条件的符合性分析</w:t>
      </w:r>
    </w:p>
    <w:p>
      <w:pPr>
        <w:pStyle w:val="28"/>
        <w:spacing w:after="0" w:line="360" w:lineRule="auto"/>
        <w:ind w:firstLine="560"/>
        <w:rPr>
          <w:rFonts w:ascii="宋体" w:hAnsi="宋体" w:eastAsia="宋体" w:cs="宋体"/>
          <w:szCs w:val="28"/>
        </w:rPr>
      </w:pPr>
      <w:r>
        <w:rPr>
          <w:rFonts w:hint="eastAsia" w:ascii="宋体" w:hAnsi="宋体" w:eastAsia="宋体" w:cs="宋体"/>
          <w:szCs w:val="28"/>
        </w:rPr>
        <w:t>本次申报的项目为“保定市一亩泉地下水型集中式生活饮用水水源地地下水环境状况详细调查与评估项目”。保定市一亩泉水水源地地下水环境状况问题是由于水源地保护区内工农业生产、畜禽养殖等造成的周边环境污染，通过下渗影响地下水，造成水体水质恶化污染，地下水水质污染问题以点状为主，部分区域呈面状发展。项目所在区为保定市城镇应急备用水源地保护区和补给区，具有重要的安全供水战略意义，同时其处于白洋淀上游补给区，地理位置及其重要，如不加以防控以及修复治理，必将对保定市供水安全和下游水质产生巨大风险，因此为保障广大人民群众的生活饮用水安全和身心健康，保护白洋淀下游生态安全，开展一亩泉集中水源地详细调查刻不容缓。拟采用以“详细调查—监测网优化—污染源解析—健康风险评估—综合评价分析”的方式进行一亩泉水源地保护区和补给区详细调查评估，属于地下水生态环境保护中“地下水生态环境状况调查评估”。</w:t>
      </w:r>
    </w:p>
    <w:p>
      <w:pPr>
        <w:pStyle w:val="28"/>
        <w:spacing w:after="0" w:line="360" w:lineRule="auto"/>
        <w:ind w:firstLine="560"/>
        <w:rPr>
          <w:rFonts w:eastAsia="华文仿宋"/>
        </w:rPr>
      </w:pPr>
      <w:r>
        <w:rPr>
          <w:rFonts w:hint="eastAsia" w:ascii="宋体" w:hAnsi="宋体" w:eastAsia="宋体" w:cs="宋体"/>
          <w:szCs w:val="28"/>
        </w:rPr>
        <w:t>综上，本项目符合中央生态环境资金储备库入库项目的申报条件。</w:t>
      </w:r>
    </w:p>
    <w:p>
      <w:pPr>
        <w:pStyle w:val="6"/>
        <w:spacing w:before="156" w:after="156"/>
        <w:ind w:firstLine="562"/>
        <w:rPr>
          <w:rFonts w:ascii="宋体" w:hAnsi="宋体" w:cs="宋体"/>
        </w:rPr>
      </w:pPr>
      <w:r>
        <w:rPr>
          <w:rFonts w:hint="eastAsia" w:ascii="宋体" w:hAnsi="宋体" w:cs="宋体"/>
        </w:rPr>
        <w:t>1.2.2 贯彻落实中央和地方有关文件精神，保障供水安全</w:t>
      </w:r>
    </w:p>
    <w:p>
      <w:pPr>
        <w:pStyle w:val="28"/>
        <w:spacing w:after="0" w:line="360" w:lineRule="auto"/>
        <w:ind w:firstLine="560"/>
        <w:rPr>
          <w:rFonts w:ascii="Times New Roman" w:hAnsi="Times New Roman" w:eastAsia="宋体" w:cs="Times New Roman"/>
          <w:szCs w:val="28"/>
        </w:rPr>
      </w:pPr>
      <w:r>
        <w:rPr>
          <w:rFonts w:ascii="Times New Roman" w:hAnsi="Times New Roman" w:eastAsia="宋体" w:cs="Times New Roman"/>
          <w:szCs w:val="28"/>
        </w:rPr>
        <w:t>《中共中央 国务院关于深入打好污染防治攻坚战的意见》（2021年11月2日）中明确提出：强化地下水污染协同防治。持续开展地下水环境状况调查评估，划定地下水型饮用水水源地补给区并强化保护措施，开展地下水污染防治重点区划定及污染风险管控。健全分级分类的地下水环境监测评价体系。《河北省土壤与地下水污染防治“十四五”规划》（冀土领办〔2022〕4号）指出，开展地下水型饮用水水源环境风险排查</w:t>
      </w:r>
      <w:r>
        <w:rPr>
          <w:rFonts w:hint="eastAsia" w:ascii="Times New Roman" w:hAnsi="Times New Roman" w:eastAsia="宋体" w:cs="Times New Roman"/>
          <w:szCs w:val="28"/>
        </w:rPr>
        <w:t>，……</w:t>
      </w:r>
      <w:r>
        <w:rPr>
          <w:rFonts w:ascii="Times New Roman" w:hAnsi="Times New Roman" w:eastAsia="宋体" w:cs="Times New Roman"/>
          <w:szCs w:val="28"/>
        </w:rPr>
        <w:t>针对水质超标的地下水型饮用水水源，分析超标原因，因地制宜采取整治措施，确保水源环境安全。</w:t>
      </w:r>
      <w:r>
        <w:rPr>
          <w:rFonts w:hint="eastAsia" w:ascii="Times New Roman" w:hAnsi="Times New Roman" w:eastAsia="宋体" w:cs="Times New Roman"/>
          <w:szCs w:val="28"/>
        </w:rPr>
        <w:t>因此开展保定市一亩泉地下水型集中式生活饮用水水源地地下水环境状况详细调查与评估是贯彻落实中央和地方相关政策，确保水源地环境安全、保障饮水水质安全的重要举措。</w:t>
      </w:r>
    </w:p>
    <w:p>
      <w:pPr>
        <w:pStyle w:val="6"/>
        <w:spacing w:before="156" w:after="156"/>
        <w:ind w:firstLine="562"/>
        <w:rPr>
          <w:rFonts w:ascii="宋体" w:hAnsi="宋体" w:cs="宋体"/>
        </w:rPr>
      </w:pPr>
      <w:r>
        <w:rPr>
          <w:rFonts w:hint="eastAsia" w:ascii="宋体" w:hAnsi="宋体" w:cs="宋体"/>
        </w:rPr>
        <w:t>1.2.3 白洋淀上游水污染防治的需要</w:t>
      </w:r>
    </w:p>
    <w:p>
      <w:pPr>
        <w:ind w:firstLine="560"/>
      </w:pPr>
      <w:r>
        <w:rPr>
          <w:rFonts w:hint="eastAsia"/>
        </w:rPr>
        <w:t>一亩泉水源地位于保定市主城区西部山前平原地带，同时其位于白洋淀上游，在白洋淀流域地下水径流过程中作用极其重要。一亩泉在开发为水源地前，在一亩泉附近形成地下水溢出带，溢出泉水汇入府河，是白洋淀的重要补给水源之一。</w:t>
      </w:r>
      <w:r>
        <w:rPr>
          <w:szCs w:val="28"/>
        </w:rPr>
        <w:t>近年来，按照习近平总书记的重要指示和省委省政府的决策部署，</w:t>
      </w:r>
      <w:r>
        <w:rPr>
          <w:rFonts w:hint="eastAsia"/>
          <w:szCs w:val="28"/>
        </w:rPr>
        <w:t>保定市</w:t>
      </w:r>
      <w:r>
        <w:rPr>
          <w:szCs w:val="28"/>
        </w:rPr>
        <w:t>委市政府高位推动，认真谋划落实，坚持统筹推进</w:t>
      </w:r>
      <w:r>
        <w:rPr>
          <w:rFonts w:hint="eastAsia"/>
          <w:szCs w:val="28"/>
        </w:rPr>
        <w:t>白洋淀上游水污染</w:t>
      </w:r>
      <w:r>
        <w:rPr>
          <w:szCs w:val="28"/>
        </w:rPr>
        <w:t>生态治理和经济发展，成效明显。</w:t>
      </w:r>
      <w:r>
        <w:rPr>
          <w:rFonts w:hint="eastAsia"/>
        </w:rPr>
        <w:t>2022年4月，保定市启动“一亩泉生态修复与乡村振兴示范项目”，随着项目推进，复涌的一亩泉将再次汇入府河，一路欢歌，流向白洋淀，而一亩泉水源地地下水水质的优劣将会直接影响到白洋淀的生态环境。因此开展一亩泉水源地区地下水环境状况详细调查，查清污染源分布、污染迁移特征已刻不容缓，这也是解决当前环境污染矛盾、支撑雄安新区建设、服务生态文明的重要举措。</w:t>
      </w:r>
    </w:p>
    <w:p>
      <w:pPr>
        <w:pStyle w:val="6"/>
        <w:spacing w:before="156" w:after="156"/>
        <w:ind w:firstLine="562"/>
        <w:rPr>
          <w:rFonts w:ascii="宋体" w:hAnsi="宋体" w:cs="宋体"/>
        </w:rPr>
      </w:pPr>
      <w:r>
        <w:rPr>
          <w:rFonts w:hint="eastAsia" w:ascii="宋体" w:hAnsi="宋体" w:cs="宋体"/>
        </w:rPr>
        <w:t>1.2.4 保障保定市主城区集中供水安全的需要</w:t>
      </w:r>
    </w:p>
    <w:p>
      <w:pPr>
        <w:ind w:firstLine="560"/>
      </w:pPr>
      <w:r>
        <w:rPr>
          <w:rFonts w:hint="eastAsia"/>
        </w:rPr>
        <w:t>一亩泉水源地自上世纪五十年代末建成后，长期作为保定市城区主要供水水源，其高峰阶段开采量达到0.6~0.8亿m</w:t>
      </w:r>
      <w:r>
        <w:rPr>
          <w:rFonts w:hint="eastAsia"/>
          <w:vertAlign w:val="superscript"/>
        </w:rPr>
        <w:t>3</w:t>
      </w:r>
      <w:r>
        <w:rPr>
          <w:rFonts w:hint="eastAsia"/>
        </w:rPr>
        <w:t>/a左右，其在保定市国民经济发展进展中发挥了不可磨灭的贡献。根据近年来在水源地区开展的相关调查工作显示，水源地保护区和保定市满城区城区有一定的重合，存在百余处地下水污染源，产生的工、农业和人类生活排放的污废水破坏水源地保护区内地下水环境。水源井总硬度在上世纪</w:t>
      </w:r>
      <w:r>
        <w:rPr>
          <w:rFonts w:hint="eastAsia"/>
          <w:szCs w:val="28"/>
        </w:rPr>
        <w:t>50年代时仅243.9mg/L（以CaCO</w:t>
      </w:r>
      <w:r>
        <w:rPr>
          <w:rFonts w:hint="eastAsia"/>
          <w:szCs w:val="28"/>
          <w:vertAlign w:val="subscript"/>
        </w:rPr>
        <w:t>3</w:t>
      </w:r>
      <w:r>
        <w:rPr>
          <w:rFonts w:hint="eastAsia"/>
          <w:szCs w:val="28"/>
        </w:rPr>
        <w:t>计算），而在2021年7月一亩泉开采井水质采样数据显示总硬度已达430mg/L（以CaCO</w:t>
      </w:r>
      <w:r>
        <w:rPr>
          <w:rFonts w:hint="eastAsia"/>
          <w:szCs w:val="28"/>
          <w:vertAlign w:val="subscript"/>
        </w:rPr>
        <w:t>3</w:t>
      </w:r>
      <w:r>
        <w:rPr>
          <w:rFonts w:hint="eastAsia"/>
          <w:szCs w:val="28"/>
        </w:rPr>
        <w:t>计算,），硝酸盐（以N计）含量已达9.2mg/L，水质状况不容乐观</w:t>
      </w:r>
      <w:r>
        <w:rPr>
          <w:rFonts w:hint="eastAsia"/>
        </w:rPr>
        <w:t>。在南水北调工程配套的第二地表水厂建成后，尽管一亩泉水源地转为应急备用水源地，但其对防患城市突发供水危机的重要性更加凸显，因此需要持续对水源地保护区内开展系统性调查，查清水源地地下水环境持续恶化的原因，遏制水质受污染的潜在风险，以保证一亩泉水源地能够符合国家饮用水源地水质要求，在发生应急涉水事件时，能够提供优质地下水，达到改善民生、稳定民心、维护社会安定的目的。</w:t>
      </w:r>
    </w:p>
    <w:p>
      <w:pPr>
        <w:pStyle w:val="6"/>
        <w:spacing w:before="156" w:after="156"/>
        <w:ind w:firstLine="562"/>
        <w:rPr>
          <w:rFonts w:ascii="宋体" w:hAnsi="宋体" w:cs="宋体"/>
        </w:rPr>
      </w:pPr>
      <w:r>
        <w:rPr>
          <w:rFonts w:hint="eastAsia" w:ascii="宋体" w:hAnsi="宋体" w:cs="宋体"/>
        </w:rPr>
        <w:t>1.2.5 一亩泉水源地开展详细调查的紧迫性和必要性</w:t>
      </w:r>
    </w:p>
    <w:p>
      <w:pPr>
        <w:widowControl/>
        <w:ind w:firstLine="560"/>
        <w:jc w:val="left"/>
        <w:rPr>
          <w:szCs w:val="28"/>
        </w:rPr>
      </w:pPr>
      <w:r>
        <w:rPr>
          <w:rFonts w:hint="eastAsia"/>
          <w:szCs w:val="28"/>
        </w:rPr>
        <w:t>近年来，河北省和保定市均高度重视一亩泉水源地的地下水环境保护，“保定市一亩泉饮用水水源保护区水环境调查与评价”（2</w:t>
      </w:r>
      <w:r>
        <w:rPr>
          <w:szCs w:val="28"/>
        </w:rPr>
        <w:t>019</w:t>
      </w:r>
      <w:r>
        <w:rPr>
          <w:rFonts w:hint="eastAsia"/>
          <w:szCs w:val="28"/>
        </w:rPr>
        <w:t>年，保定市满城区财政经费，经费总额2</w:t>
      </w:r>
      <w:r>
        <w:rPr>
          <w:szCs w:val="28"/>
        </w:rPr>
        <w:t>63</w:t>
      </w:r>
      <w:r>
        <w:rPr>
          <w:rFonts w:hint="eastAsia"/>
          <w:szCs w:val="28"/>
        </w:rPr>
        <w:t>万）、“河北省国控考核点地下水基础环境状况调查评价”（2</w:t>
      </w:r>
      <w:r>
        <w:rPr>
          <w:szCs w:val="28"/>
        </w:rPr>
        <w:t>021</w:t>
      </w:r>
      <w:r>
        <w:rPr>
          <w:rFonts w:hint="eastAsia"/>
          <w:szCs w:val="28"/>
        </w:rPr>
        <w:t>年，中央财政经费，经费总额2</w:t>
      </w:r>
      <w:r>
        <w:rPr>
          <w:szCs w:val="28"/>
        </w:rPr>
        <w:t>595.81</w:t>
      </w:r>
      <w:r>
        <w:rPr>
          <w:rFonts w:hint="eastAsia"/>
          <w:szCs w:val="28"/>
        </w:rPr>
        <w:t>万）、 “河北省地市级地下水型集中式生活饮用水水源地地下水环境状况调查评估”（2</w:t>
      </w:r>
      <w:r>
        <w:rPr>
          <w:szCs w:val="28"/>
        </w:rPr>
        <w:t>021</w:t>
      </w:r>
      <w:r>
        <w:rPr>
          <w:rFonts w:hint="eastAsia"/>
          <w:szCs w:val="28"/>
        </w:rPr>
        <w:t>年，中央财政经费，其中一亩泉水源地经费额度2</w:t>
      </w:r>
      <w:r>
        <w:rPr>
          <w:szCs w:val="28"/>
        </w:rPr>
        <w:t>46.5</w:t>
      </w:r>
      <w:r>
        <w:rPr>
          <w:rFonts w:hint="eastAsia"/>
          <w:szCs w:val="28"/>
        </w:rPr>
        <w:t>万）等项目中均有涉及到一亩泉水源地地下水环境相关的调查工作，并取得了相应的成果和认识，总体都表明一亩泉水源地地下水环境存在污染，水质持续恶化。</w:t>
      </w:r>
    </w:p>
    <w:p>
      <w:pPr>
        <w:widowControl/>
        <w:ind w:firstLine="560"/>
        <w:rPr>
          <w:b/>
          <w:bCs/>
          <w:szCs w:val="28"/>
        </w:rPr>
      </w:pPr>
      <w:r>
        <w:rPr>
          <w:rFonts w:hint="eastAsia"/>
          <w:szCs w:val="28"/>
        </w:rPr>
        <w:t>总体来看，一亩泉水源地地下水环境状况工作存在四个方面的问题：</w:t>
      </w:r>
      <w:r>
        <w:rPr>
          <w:rFonts w:hint="eastAsia"/>
          <w:b/>
          <w:bCs/>
          <w:szCs w:val="28"/>
        </w:rPr>
        <w:t>一是</w:t>
      </w:r>
      <w:r>
        <w:rPr>
          <w:rFonts w:hint="eastAsia"/>
          <w:szCs w:val="28"/>
        </w:rPr>
        <w:t>根据保定市供水总公司长期监测数据，水源开采井硝酸盐和总硬度指标持续劣化，部分区域井孔水质已不符合饮用水水质要求；</w:t>
      </w:r>
      <w:r>
        <w:rPr>
          <w:rFonts w:hint="eastAsia"/>
          <w:b/>
          <w:bCs/>
          <w:szCs w:val="28"/>
        </w:rPr>
        <w:t>二是</w:t>
      </w:r>
      <w:r>
        <w:rPr>
          <w:rFonts w:hint="eastAsia"/>
          <w:szCs w:val="28"/>
        </w:rPr>
        <w:t>保护区内地下水环境状况持续恶化，水质指标超标以散点分布为主，部分区域有连片污染趋势；</w:t>
      </w:r>
      <w:r>
        <w:rPr>
          <w:rFonts w:hint="eastAsia"/>
          <w:b/>
          <w:bCs/>
          <w:szCs w:val="28"/>
        </w:rPr>
        <w:t>三是</w:t>
      </w:r>
      <w:r>
        <w:rPr>
          <w:rFonts w:hint="eastAsia"/>
          <w:szCs w:val="28"/>
        </w:rPr>
        <w:t>普遍存在锰、铬(六价)、硒、氯化物、氨氮、</w:t>
      </w:r>
      <w:r>
        <w:rPr>
          <w:szCs w:val="28"/>
        </w:rPr>
        <w:t>亚硝酸盐、硝酸</w:t>
      </w:r>
      <w:r>
        <w:rPr>
          <w:rFonts w:hint="eastAsia"/>
          <w:szCs w:val="28"/>
        </w:rPr>
        <w:t>盐、总硬度等单一或多指标超标，污染风险因子呈现多样化、复杂化，部分区域有机污染指标健康风险不可接受；</w:t>
      </w:r>
      <w:r>
        <w:rPr>
          <w:rFonts w:hint="eastAsia"/>
          <w:b/>
          <w:bCs/>
          <w:szCs w:val="28"/>
        </w:rPr>
        <w:t>四是</w:t>
      </w:r>
      <w:r>
        <w:rPr>
          <w:rFonts w:hint="eastAsia"/>
          <w:szCs w:val="28"/>
        </w:rPr>
        <w:t>对于污染源的确定多以推断为主，尚未圈定污染范围，对于污染程度、成因、途径等均不明确，需要进一步开展详细调查。</w:t>
      </w:r>
    </w:p>
    <w:p>
      <w:pPr>
        <w:widowControl/>
        <w:ind w:firstLine="560"/>
        <w:rPr>
          <w:szCs w:val="28"/>
        </w:rPr>
      </w:pPr>
      <w:r>
        <w:rPr>
          <w:rFonts w:hint="eastAsia"/>
          <w:szCs w:val="28"/>
        </w:rPr>
        <w:t>而前期已开展的地下水环境状况调查工作普遍存在如下问题：</w:t>
      </w:r>
      <w:r>
        <w:rPr>
          <w:rFonts w:hint="eastAsia"/>
          <w:b/>
          <w:bCs/>
          <w:szCs w:val="28"/>
        </w:rPr>
        <w:t>一是</w:t>
      </w:r>
      <w:r>
        <w:rPr>
          <w:rFonts w:hint="eastAsia"/>
          <w:szCs w:val="28"/>
        </w:rPr>
        <w:t>调查工作目的不一，多止于初步调查阶段。</w:t>
      </w:r>
      <w:r>
        <w:rPr>
          <w:rFonts w:hint="eastAsia"/>
          <w:b/>
          <w:bCs/>
          <w:szCs w:val="28"/>
        </w:rPr>
        <w:t>二是</w:t>
      </w:r>
      <w:r>
        <w:rPr>
          <w:rFonts w:hint="eastAsia"/>
          <w:szCs w:val="28"/>
        </w:rPr>
        <w:t>工作周期多较短，一般3</w:t>
      </w:r>
      <w:r>
        <w:rPr>
          <w:szCs w:val="28"/>
        </w:rPr>
        <w:t>-6</w:t>
      </w:r>
      <w:r>
        <w:rPr>
          <w:rFonts w:hint="eastAsia"/>
          <w:szCs w:val="28"/>
        </w:rPr>
        <w:t>个月，缺乏系统、持续的监测数据来对水源地水环境劣化原因开展精确解析。</w:t>
      </w:r>
      <w:r>
        <w:rPr>
          <w:rFonts w:hint="eastAsia"/>
          <w:b/>
          <w:bCs/>
          <w:szCs w:val="28"/>
        </w:rPr>
        <w:t>三是</w:t>
      </w:r>
      <w:r>
        <w:rPr>
          <w:rFonts w:hint="eastAsia"/>
          <w:szCs w:val="28"/>
        </w:rPr>
        <w:t>工作手段相对单一，且仅以1期次样品测试结果结合周边污染源来推测分析可能污染源，缺乏多期对比分析说明地下水环境状况的变化特征；</w:t>
      </w:r>
      <w:r>
        <w:rPr>
          <w:rFonts w:hint="eastAsia"/>
          <w:b/>
          <w:bCs/>
          <w:szCs w:val="28"/>
        </w:rPr>
        <w:t>四是</w:t>
      </w:r>
      <w:r>
        <w:rPr>
          <w:rFonts w:hint="eastAsia"/>
          <w:szCs w:val="28"/>
        </w:rPr>
        <w:t>对区内存在锰、铬(六价)、硒、氯化物、氨氮、</w:t>
      </w:r>
      <w:r>
        <w:rPr>
          <w:szCs w:val="28"/>
        </w:rPr>
        <w:t>亚硝酸盐、硝酸</w:t>
      </w:r>
      <w:r>
        <w:rPr>
          <w:rFonts w:hint="eastAsia"/>
          <w:szCs w:val="28"/>
        </w:rPr>
        <w:t>盐、总硬度等指标超标问题，缺乏针对性的污染溯源工作手段。</w:t>
      </w:r>
      <w:r>
        <w:rPr>
          <w:rFonts w:hint="eastAsia"/>
          <w:b/>
          <w:bCs/>
          <w:szCs w:val="28"/>
        </w:rPr>
        <w:t>五是</w:t>
      </w:r>
      <w:r>
        <w:rPr>
          <w:rFonts w:hint="eastAsia"/>
          <w:szCs w:val="28"/>
        </w:rPr>
        <w:t>近两年来开展工作，对污染因子和污染程度论述不一，对污染浓度、空间分布等尚未有明确论述。</w:t>
      </w:r>
    </w:p>
    <w:p>
      <w:pPr>
        <w:ind w:firstLine="560"/>
        <w:rPr>
          <w:szCs w:val="28"/>
        </w:rPr>
      </w:pPr>
      <w:r>
        <w:rPr>
          <w:szCs w:val="28"/>
        </w:rPr>
        <w:t>鉴于</w:t>
      </w:r>
      <w:r>
        <w:rPr>
          <w:rFonts w:hint="eastAsia"/>
          <w:szCs w:val="28"/>
        </w:rPr>
        <w:t>一亩泉水源地</w:t>
      </w:r>
      <w:r>
        <w:rPr>
          <w:szCs w:val="28"/>
        </w:rPr>
        <w:t>对</w:t>
      </w:r>
      <w:r>
        <w:rPr>
          <w:rFonts w:hint="eastAsia"/>
          <w:szCs w:val="28"/>
        </w:rPr>
        <w:t>保定市城镇供水安全的战略意义、一亩泉水源地存在的地下水环境状况问题对供水安全的不良影响，以及一亩泉水源地对白洋淀下游生态</w:t>
      </w:r>
      <w:r>
        <w:rPr>
          <w:szCs w:val="28"/>
        </w:rPr>
        <w:t>的环境风险，</w:t>
      </w:r>
      <w:r>
        <w:rPr>
          <w:rFonts w:hint="eastAsia"/>
          <w:szCs w:val="28"/>
        </w:rPr>
        <w:t>综合以往工作开展存在的问题，</w:t>
      </w:r>
      <w:r>
        <w:rPr>
          <w:szCs w:val="28"/>
        </w:rPr>
        <w:t>亟需</w:t>
      </w:r>
      <w:r>
        <w:rPr>
          <w:rFonts w:hint="eastAsia"/>
          <w:szCs w:val="28"/>
        </w:rPr>
        <w:t>通过调查、钻探、物探、监测、同位素等多手段结合获取系统、持续多期次的基础数据和水环境监测数据，以全面评估区内水环境状况、</w:t>
      </w:r>
      <w:bookmarkStart w:id="52" w:name="_Hlk118040282"/>
      <w:r>
        <w:rPr>
          <w:rFonts w:hint="eastAsia"/>
          <w:szCs w:val="28"/>
        </w:rPr>
        <w:t>确定污染因子和成因，溯源污染源，明确污染程度、空间分布等，</w:t>
      </w:r>
      <w:bookmarkEnd w:id="52"/>
      <w:r>
        <w:rPr>
          <w:rFonts w:hint="eastAsia"/>
          <w:szCs w:val="28"/>
        </w:rPr>
        <w:t>通过本次开展一亩泉水源地地下水环境状况详细调查和评估工作，查清工作区水文地质基础条件，初步建立地下水环境监测网，为后续一亩泉水源地地下水环境状况风险评估、风险管控和治理修复等工作</w:t>
      </w:r>
      <w:r>
        <w:rPr>
          <w:szCs w:val="28"/>
        </w:rPr>
        <w:t>持续顺利推进奠定基础。</w:t>
      </w:r>
    </w:p>
    <w:p>
      <w:pPr>
        <w:pStyle w:val="5"/>
        <w:ind w:firstLine="602"/>
        <w:rPr>
          <w:b/>
          <w:bCs/>
        </w:rPr>
      </w:pPr>
      <w:bookmarkStart w:id="53" w:name="_Toc118098344"/>
      <w:r>
        <w:rPr>
          <w:rFonts w:hint="eastAsia"/>
          <w:b/>
          <w:bCs/>
        </w:rPr>
        <w:t>1.3 编制依据</w:t>
      </w:r>
      <w:bookmarkEnd w:id="53"/>
    </w:p>
    <w:p>
      <w:pPr>
        <w:pStyle w:val="6"/>
        <w:spacing w:before="156" w:after="156"/>
        <w:ind w:firstLine="561"/>
      </w:pPr>
      <w:r>
        <w:rPr>
          <w:rFonts w:hint="eastAsia" w:eastAsia="华文仿宋"/>
        </w:rPr>
        <w:t>1.3</w:t>
      </w:r>
      <w:r>
        <w:rPr>
          <w:rFonts w:eastAsia="华文仿宋"/>
        </w:rPr>
        <w:t>.1</w:t>
      </w:r>
      <w:r>
        <w:t>相关法律法规及政策</w:t>
      </w:r>
    </w:p>
    <w:p>
      <w:pPr>
        <w:ind w:firstLine="560"/>
        <w:rPr>
          <w:rFonts w:cs="Times New Roman"/>
        </w:rPr>
      </w:pPr>
      <w:r>
        <w:rPr>
          <w:rFonts w:cs="Times New Roman"/>
        </w:rPr>
        <w:t>（1）《中华人民共和国环境保护法》</w:t>
      </w:r>
    </w:p>
    <w:p>
      <w:pPr>
        <w:ind w:firstLine="560"/>
        <w:rPr>
          <w:rFonts w:cs="Times New Roman"/>
        </w:rPr>
      </w:pPr>
      <w:r>
        <w:rPr>
          <w:rFonts w:cs="Times New Roman"/>
        </w:rPr>
        <w:t>（2）《中华人民共和国水污染防治法》</w:t>
      </w:r>
    </w:p>
    <w:p>
      <w:pPr>
        <w:spacing w:before="31" w:beforeLines="10" w:after="31" w:afterLines="10"/>
        <w:ind w:firstLine="618" w:firstLineChars="221"/>
        <w:rPr>
          <w:rFonts w:cs="Times New Roman"/>
          <w:szCs w:val="28"/>
        </w:rPr>
      </w:pPr>
      <w:r>
        <w:rPr>
          <w:rFonts w:cs="Times New Roman"/>
        </w:rPr>
        <w:t>（3）</w:t>
      </w:r>
      <w:r>
        <w:rPr>
          <w:rFonts w:cs="Times New Roman"/>
          <w:lang w:val="en-GB"/>
        </w:rPr>
        <w:t>《全国地下水污染防治规划(2011-2020年)》</w:t>
      </w:r>
      <w:r>
        <w:rPr>
          <w:rFonts w:cs="Times New Roman"/>
          <w:szCs w:val="28"/>
        </w:rPr>
        <w:t>（环发[2011]128号）</w:t>
      </w:r>
    </w:p>
    <w:p>
      <w:pPr>
        <w:ind w:firstLine="560"/>
        <w:rPr>
          <w:rFonts w:cs="Times New Roman"/>
        </w:rPr>
      </w:pPr>
      <w:r>
        <w:rPr>
          <w:rFonts w:cs="Times New Roman"/>
        </w:rPr>
        <w:t>（4）</w:t>
      </w:r>
      <w:r>
        <w:rPr>
          <w:rFonts w:cs="Times New Roman"/>
          <w:lang w:val="en-GB"/>
        </w:rPr>
        <w:t>《全国地下水基础环境状况调查评估实施方案》</w:t>
      </w:r>
    </w:p>
    <w:p>
      <w:pPr>
        <w:ind w:firstLine="560"/>
        <w:rPr>
          <w:rFonts w:cs="Times New Roman"/>
          <w:lang w:val="en-GB"/>
        </w:rPr>
      </w:pPr>
      <w:r>
        <w:rPr>
          <w:rFonts w:cs="Times New Roman"/>
          <w:lang w:val="en-GB"/>
        </w:rPr>
        <w:t>（</w:t>
      </w:r>
      <w:r>
        <w:rPr>
          <w:rFonts w:cs="Times New Roman"/>
        </w:rPr>
        <w:t>5</w:t>
      </w:r>
      <w:r>
        <w:rPr>
          <w:rFonts w:cs="Times New Roman"/>
          <w:lang w:val="en-GB"/>
        </w:rPr>
        <w:t>）《华北平原地下水污染防治工作方案》</w:t>
      </w:r>
      <w:r>
        <w:rPr>
          <w:rFonts w:cs="Times New Roman"/>
          <w:szCs w:val="28"/>
        </w:rPr>
        <w:t>（环发〔2013〕49号）</w:t>
      </w:r>
    </w:p>
    <w:p>
      <w:pPr>
        <w:ind w:firstLine="560"/>
        <w:rPr>
          <w:rFonts w:cs="Times New Roman"/>
          <w:lang w:val="en-GB"/>
        </w:rPr>
      </w:pPr>
      <w:r>
        <w:rPr>
          <w:rFonts w:cs="Times New Roman"/>
          <w:lang w:val="en-GB"/>
        </w:rPr>
        <w:t>（</w:t>
      </w:r>
      <w:r>
        <w:rPr>
          <w:rFonts w:cs="Times New Roman"/>
        </w:rPr>
        <w:t>6</w:t>
      </w:r>
      <w:r>
        <w:rPr>
          <w:rFonts w:cs="Times New Roman"/>
          <w:lang w:val="en-GB"/>
        </w:rPr>
        <w:t>）《国务院关于印发水污染防治行动计划的通知》（国发〔2015〕17号）</w:t>
      </w:r>
    </w:p>
    <w:p>
      <w:pPr>
        <w:ind w:firstLine="560"/>
        <w:rPr>
          <w:rFonts w:cs="Times New Roman"/>
          <w:lang w:val="en-GB"/>
        </w:rPr>
      </w:pPr>
      <w:r>
        <w:rPr>
          <w:rFonts w:cs="Times New Roman"/>
          <w:lang w:val="en-GB"/>
        </w:rPr>
        <w:t>（</w:t>
      </w:r>
      <w:r>
        <w:rPr>
          <w:rFonts w:cs="Times New Roman"/>
        </w:rPr>
        <w:t>7</w:t>
      </w:r>
      <w:r>
        <w:rPr>
          <w:rFonts w:cs="Times New Roman"/>
          <w:lang w:val="en-GB"/>
        </w:rPr>
        <w:t>）《国务院关于印发土壤污染防治行动计划的通知》（国发〔2016〕31号）</w:t>
      </w:r>
    </w:p>
    <w:p>
      <w:pPr>
        <w:ind w:firstLine="560"/>
        <w:rPr>
          <w:rFonts w:cs="Times New Roman"/>
        </w:rPr>
      </w:pPr>
      <w:r>
        <w:rPr>
          <w:rFonts w:cs="Times New Roman"/>
          <w:lang w:val="en-GB"/>
        </w:rPr>
        <w:t>（</w:t>
      </w:r>
      <w:r>
        <w:rPr>
          <w:rFonts w:cs="Times New Roman"/>
        </w:rPr>
        <w:t>8</w:t>
      </w:r>
      <w:r>
        <w:rPr>
          <w:rFonts w:cs="Times New Roman"/>
          <w:lang w:val="en-GB"/>
        </w:rPr>
        <w:t>）</w:t>
      </w:r>
      <w:r>
        <w:rPr>
          <w:rFonts w:cs="Times New Roman"/>
        </w:rPr>
        <w:t>《“十四五”土壤、地下水和农村生态环境保护规划》（环土壤〔2021〕120号）</w:t>
      </w:r>
    </w:p>
    <w:p>
      <w:pPr>
        <w:ind w:firstLine="560"/>
        <w:rPr>
          <w:rFonts w:cs="Times New Roman"/>
          <w:lang w:val="en-GB"/>
        </w:rPr>
      </w:pPr>
      <w:r>
        <w:rPr>
          <w:rFonts w:cs="Times New Roman"/>
          <w:lang w:val="en-GB"/>
        </w:rPr>
        <w:t>（</w:t>
      </w:r>
      <w:r>
        <w:rPr>
          <w:rFonts w:cs="Times New Roman"/>
        </w:rPr>
        <w:t>9</w:t>
      </w:r>
      <w:r>
        <w:rPr>
          <w:rFonts w:cs="Times New Roman"/>
          <w:lang w:val="en-GB"/>
        </w:rPr>
        <w:t>）《关于印发地下水污染防治实施方案的通知》(环土壤〔2019〕25号)</w:t>
      </w:r>
    </w:p>
    <w:p>
      <w:pPr>
        <w:ind w:firstLine="560"/>
        <w:rPr>
          <w:rFonts w:cs="Times New Roman"/>
          <w:lang w:val="en-GB"/>
        </w:rPr>
      </w:pPr>
      <w:r>
        <w:rPr>
          <w:rFonts w:cs="Times New Roman"/>
          <w:lang w:val="en-GB"/>
        </w:rPr>
        <w:t>（</w:t>
      </w:r>
      <w:r>
        <w:rPr>
          <w:rFonts w:cs="Times New Roman"/>
        </w:rPr>
        <w:t>10</w:t>
      </w:r>
      <w:r>
        <w:rPr>
          <w:rFonts w:cs="Times New Roman"/>
          <w:lang w:val="en-GB"/>
        </w:rPr>
        <w:t>）《关于</w:t>
      </w:r>
      <w:r>
        <w:rPr>
          <w:rFonts w:cs="Times New Roman"/>
        </w:rPr>
        <w:t>印发&lt;中央生态环境资金项目储备库入库指南（2021年）&gt;的通知</w:t>
      </w:r>
      <w:r>
        <w:rPr>
          <w:rFonts w:cs="Times New Roman"/>
          <w:lang w:val="en-GB"/>
        </w:rPr>
        <w:t>》(环办规财〔20</w:t>
      </w:r>
      <w:r>
        <w:rPr>
          <w:rFonts w:cs="Times New Roman"/>
        </w:rPr>
        <w:t>21</w:t>
      </w:r>
      <w:r>
        <w:rPr>
          <w:rFonts w:cs="Times New Roman"/>
          <w:lang w:val="en-GB"/>
        </w:rPr>
        <w:t>〕</w:t>
      </w:r>
      <w:r>
        <w:rPr>
          <w:rFonts w:cs="Times New Roman"/>
        </w:rPr>
        <w:t>22</w:t>
      </w:r>
      <w:r>
        <w:rPr>
          <w:rFonts w:cs="Times New Roman"/>
          <w:lang w:val="en-GB"/>
        </w:rPr>
        <w:t>号)</w:t>
      </w:r>
    </w:p>
    <w:p>
      <w:pPr>
        <w:ind w:firstLine="560"/>
        <w:rPr>
          <w:rFonts w:cs="Times New Roman"/>
          <w:lang w:val="en-GB"/>
        </w:rPr>
      </w:pPr>
      <w:r>
        <w:rPr>
          <w:rFonts w:cs="Times New Roman"/>
          <w:lang w:val="en-GB"/>
        </w:rPr>
        <w:t>（1</w:t>
      </w:r>
      <w:r>
        <w:rPr>
          <w:rFonts w:cs="Times New Roman"/>
        </w:rPr>
        <w:t>1</w:t>
      </w:r>
      <w:r>
        <w:rPr>
          <w:rFonts w:cs="Times New Roman"/>
          <w:lang w:val="en-GB"/>
        </w:rPr>
        <w:t>）《河北省生态环境厅等五部门联合印发《河北省地下水污染防治实施方案》</w:t>
      </w:r>
      <w:r>
        <w:rPr>
          <w:rFonts w:cs="Times New Roman"/>
        </w:rPr>
        <w:t>的通知</w:t>
      </w:r>
      <w:r>
        <w:rPr>
          <w:rFonts w:cs="Times New Roman"/>
          <w:lang w:val="en-GB"/>
        </w:rPr>
        <w:t>》（</w:t>
      </w:r>
      <w:r>
        <w:rPr>
          <w:rFonts w:cs="Times New Roman"/>
        </w:rPr>
        <w:t>冀环土壤</w:t>
      </w:r>
      <w:r>
        <w:rPr>
          <w:rFonts w:cs="Times New Roman"/>
          <w:lang w:val="en-GB"/>
        </w:rPr>
        <w:t>〔202</w:t>
      </w:r>
      <w:r>
        <w:rPr>
          <w:rFonts w:cs="Times New Roman"/>
        </w:rPr>
        <w:t>0</w:t>
      </w:r>
      <w:r>
        <w:rPr>
          <w:rFonts w:cs="Times New Roman"/>
          <w:lang w:val="en-GB"/>
        </w:rPr>
        <w:t>〕</w:t>
      </w:r>
      <w:r>
        <w:rPr>
          <w:rFonts w:cs="Times New Roman"/>
        </w:rPr>
        <w:t>284</w:t>
      </w:r>
      <w:r>
        <w:rPr>
          <w:rFonts w:cs="Times New Roman"/>
          <w:lang w:val="en-GB"/>
        </w:rPr>
        <w:t>号）</w:t>
      </w:r>
    </w:p>
    <w:p>
      <w:pPr>
        <w:pStyle w:val="28"/>
        <w:ind w:firstLine="560"/>
        <w:rPr>
          <w:rFonts w:ascii="Times New Roman" w:hAnsi="Times New Roman" w:eastAsia="宋体" w:cs="Times New Roman"/>
          <w:lang w:val="en-GB"/>
        </w:rPr>
      </w:pPr>
      <w:r>
        <w:rPr>
          <w:rFonts w:ascii="Times New Roman" w:hAnsi="Times New Roman" w:eastAsia="宋体" w:cs="Times New Roman"/>
          <w:lang w:val="en-GB"/>
        </w:rPr>
        <w:t>（</w:t>
      </w:r>
      <w:r>
        <w:rPr>
          <w:rFonts w:ascii="Times New Roman" w:hAnsi="Times New Roman" w:eastAsia="宋体" w:cs="Times New Roman"/>
        </w:rPr>
        <w:t>12</w:t>
      </w:r>
      <w:r>
        <w:rPr>
          <w:rFonts w:ascii="Times New Roman" w:hAnsi="Times New Roman" w:eastAsia="宋体" w:cs="Times New Roman"/>
          <w:lang w:val="en-GB"/>
        </w:rPr>
        <w:t>）《关于印发《河北省土壤与地下水污染防治“十四五”规划》的通知》（</w:t>
      </w:r>
      <w:r>
        <w:rPr>
          <w:rFonts w:ascii="Times New Roman" w:hAnsi="Times New Roman" w:eastAsia="宋体" w:cs="Times New Roman"/>
        </w:rPr>
        <w:t>2022年1月31日</w:t>
      </w:r>
      <w:r>
        <w:rPr>
          <w:rFonts w:ascii="Times New Roman" w:hAnsi="Times New Roman" w:eastAsia="宋体" w:cs="Times New Roman"/>
          <w:lang w:val="en-GB"/>
        </w:rPr>
        <w:t>）</w:t>
      </w:r>
    </w:p>
    <w:p>
      <w:pPr>
        <w:ind w:firstLine="560"/>
        <w:rPr>
          <w:rFonts w:cs="Times New Roman"/>
          <w:szCs w:val="28"/>
        </w:rPr>
      </w:pPr>
      <w:r>
        <w:rPr>
          <w:rFonts w:cs="Times New Roman"/>
          <w:lang w:val="en-GB"/>
        </w:rPr>
        <w:t>（</w:t>
      </w:r>
      <w:r>
        <w:rPr>
          <w:rFonts w:cs="Times New Roman"/>
        </w:rPr>
        <w:t>13</w:t>
      </w:r>
      <w:r>
        <w:rPr>
          <w:rFonts w:cs="Times New Roman"/>
          <w:lang w:val="en-GB"/>
        </w:rPr>
        <w:t>）</w:t>
      </w:r>
      <w:r>
        <w:rPr>
          <w:rFonts w:cs="Times New Roman"/>
          <w:szCs w:val="28"/>
        </w:rPr>
        <w:t>其他相关政策法规。</w:t>
      </w:r>
    </w:p>
    <w:p>
      <w:pPr>
        <w:pStyle w:val="6"/>
        <w:spacing w:before="156" w:after="156"/>
        <w:ind w:firstLine="562"/>
      </w:pPr>
      <w:r>
        <w:rPr>
          <w:rFonts w:hint="eastAsia"/>
        </w:rPr>
        <w:t>1.3</w:t>
      </w:r>
      <w:r>
        <w:t>.2标准与规范</w:t>
      </w:r>
    </w:p>
    <w:p>
      <w:pPr>
        <w:numPr>
          <w:ilvl w:val="0"/>
          <w:numId w:val="1"/>
        </w:numPr>
        <w:ind w:firstLine="560"/>
        <w:rPr>
          <w:rFonts w:cs="Times New Roman"/>
          <w:lang w:val="en-GB"/>
        </w:rPr>
      </w:pPr>
      <w:r>
        <w:rPr>
          <w:rFonts w:hint="eastAsia" w:cs="Times New Roman"/>
          <w:lang w:val="en-GB"/>
        </w:rPr>
        <w:t>《</w:t>
      </w:r>
      <w:r>
        <w:rPr>
          <w:rFonts w:hint="eastAsia" w:cs="Times New Roman"/>
        </w:rPr>
        <w:t>地下水环境状况调查评价工作指南</w:t>
      </w:r>
      <w:r>
        <w:rPr>
          <w:rFonts w:hint="eastAsia" w:cs="Times New Roman"/>
          <w:lang w:val="en-GB"/>
        </w:rPr>
        <w:t>》（</w:t>
      </w:r>
      <w:r>
        <w:rPr>
          <w:rFonts w:hint="eastAsia" w:cs="Times New Roman"/>
        </w:rPr>
        <w:t>环办土壤函</w:t>
      </w:r>
      <w:r>
        <w:rPr>
          <w:rFonts w:hint="eastAsia" w:cs="Times New Roman"/>
          <w:lang w:val="en-GB"/>
        </w:rPr>
        <w:t>〔</w:t>
      </w:r>
      <w:r>
        <w:rPr>
          <w:rFonts w:hint="eastAsia" w:cs="Times New Roman"/>
        </w:rPr>
        <w:t>2019</w:t>
      </w:r>
      <w:r>
        <w:rPr>
          <w:rFonts w:hint="eastAsia" w:cs="Times New Roman"/>
          <w:lang w:val="en-GB"/>
        </w:rPr>
        <w:t>〕</w:t>
      </w:r>
      <w:r>
        <w:rPr>
          <w:rFonts w:hint="eastAsia" w:cs="Times New Roman"/>
        </w:rPr>
        <w:t>770号</w:t>
      </w:r>
      <w:r>
        <w:rPr>
          <w:rFonts w:hint="eastAsia" w:cs="Times New Roman"/>
          <w:lang w:val="en-GB"/>
        </w:rPr>
        <w:t>）</w:t>
      </w:r>
    </w:p>
    <w:p>
      <w:pPr>
        <w:numPr>
          <w:ilvl w:val="0"/>
          <w:numId w:val="1"/>
        </w:numPr>
        <w:ind w:firstLine="560"/>
        <w:rPr>
          <w:rFonts w:cs="Times New Roman"/>
          <w:lang w:val="en-GB"/>
        </w:rPr>
      </w:pPr>
      <w:r>
        <w:rPr>
          <w:szCs w:val="28"/>
        </w:rPr>
        <w:t>《地下水污染健康风险评估工作指南》</w:t>
      </w:r>
      <w:r>
        <w:rPr>
          <w:rFonts w:hint="eastAsia" w:cs="Times New Roman"/>
          <w:lang w:val="en-GB"/>
        </w:rPr>
        <w:t>（</w:t>
      </w:r>
      <w:r>
        <w:rPr>
          <w:rFonts w:hint="eastAsia" w:cs="Times New Roman"/>
        </w:rPr>
        <w:t>环办土壤函</w:t>
      </w:r>
      <w:r>
        <w:rPr>
          <w:rFonts w:hint="eastAsia" w:cs="Times New Roman"/>
          <w:lang w:val="en-GB"/>
        </w:rPr>
        <w:t>〔</w:t>
      </w:r>
      <w:r>
        <w:rPr>
          <w:rFonts w:hint="eastAsia" w:cs="Times New Roman"/>
        </w:rPr>
        <w:t>2019</w:t>
      </w:r>
      <w:r>
        <w:rPr>
          <w:rFonts w:hint="eastAsia" w:cs="Times New Roman"/>
          <w:lang w:val="en-GB"/>
        </w:rPr>
        <w:t>〕</w:t>
      </w:r>
      <w:r>
        <w:rPr>
          <w:rFonts w:hint="eastAsia" w:cs="Times New Roman"/>
        </w:rPr>
        <w:t>770号</w:t>
      </w:r>
      <w:r>
        <w:rPr>
          <w:rFonts w:hint="eastAsia" w:cs="Times New Roman"/>
          <w:lang w:val="en-GB"/>
        </w:rPr>
        <w:t>）</w:t>
      </w:r>
    </w:p>
    <w:p>
      <w:pPr>
        <w:numPr>
          <w:ilvl w:val="0"/>
          <w:numId w:val="1"/>
        </w:numPr>
        <w:ind w:firstLine="560"/>
        <w:rPr>
          <w:rFonts w:cs="Times New Roman"/>
          <w:lang w:val="en-GB"/>
        </w:rPr>
      </w:pPr>
      <w:r>
        <w:rPr>
          <w:rFonts w:hint="eastAsia"/>
          <w:szCs w:val="28"/>
        </w:rPr>
        <w:t>《地下水污染模拟预测评估工作指南》</w:t>
      </w:r>
      <w:r>
        <w:rPr>
          <w:rFonts w:hint="eastAsia" w:cs="Times New Roman"/>
          <w:lang w:val="en-GB"/>
        </w:rPr>
        <w:t>（</w:t>
      </w:r>
      <w:r>
        <w:rPr>
          <w:rFonts w:hint="eastAsia" w:cs="Times New Roman"/>
        </w:rPr>
        <w:t>环办土壤函</w:t>
      </w:r>
      <w:r>
        <w:rPr>
          <w:rFonts w:hint="eastAsia" w:cs="Times New Roman"/>
          <w:lang w:val="en-GB"/>
        </w:rPr>
        <w:t>〔</w:t>
      </w:r>
      <w:r>
        <w:rPr>
          <w:rFonts w:hint="eastAsia" w:cs="Times New Roman"/>
        </w:rPr>
        <w:t>2019</w:t>
      </w:r>
      <w:r>
        <w:rPr>
          <w:rFonts w:hint="eastAsia" w:cs="Times New Roman"/>
          <w:lang w:val="en-GB"/>
        </w:rPr>
        <w:t>〕</w:t>
      </w:r>
      <w:r>
        <w:rPr>
          <w:rFonts w:hint="eastAsia" w:cs="Times New Roman"/>
        </w:rPr>
        <w:t>770号</w:t>
      </w:r>
      <w:r>
        <w:rPr>
          <w:rFonts w:hint="eastAsia" w:cs="Times New Roman"/>
          <w:lang w:val="en-GB"/>
        </w:rPr>
        <w:t>）</w:t>
      </w:r>
    </w:p>
    <w:p>
      <w:pPr>
        <w:numPr>
          <w:ilvl w:val="0"/>
          <w:numId w:val="1"/>
        </w:numPr>
        <w:ind w:firstLine="560"/>
        <w:rPr>
          <w:rFonts w:cs="Times New Roman"/>
          <w:lang w:val="en-GB"/>
        </w:rPr>
      </w:pPr>
      <w:r>
        <w:rPr>
          <w:rFonts w:hint="eastAsia" w:cs="Times New Roman"/>
          <w:lang w:val="en-GB"/>
        </w:rPr>
        <w:t>《地下水污染防治重点区划定技术指南》（</w:t>
      </w:r>
      <w:r>
        <w:rPr>
          <w:rFonts w:hint="eastAsia" w:cs="Times New Roman"/>
        </w:rPr>
        <w:t>征求意见稿</w:t>
      </w:r>
      <w:r>
        <w:rPr>
          <w:rFonts w:hint="eastAsia" w:cs="Times New Roman"/>
          <w:lang w:val="en-GB"/>
        </w:rPr>
        <w:t>）（</w:t>
      </w:r>
      <w:r>
        <w:rPr>
          <w:rFonts w:hint="eastAsia" w:cs="Times New Roman"/>
        </w:rPr>
        <w:t>2022年8月</w:t>
      </w:r>
      <w:r>
        <w:rPr>
          <w:rFonts w:hint="eastAsia" w:cs="Times New Roman"/>
          <w:lang w:val="en-GB"/>
        </w:rPr>
        <w:t>）</w:t>
      </w:r>
    </w:p>
    <w:p>
      <w:pPr>
        <w:numPr>
          <w:ilvl w:val="0"/>
          <w:numId w:val="1"/>
        </w:numPr>
        <w:ind w:firstLine="560"/>
        <w:rPr>
          <w:rFonts w:cs="Times New Roman"/>
          <w:lang w:val="en-GB"/>
        </w:rPr>
      </w:pPr>
      <w:r>
        <w:rPr>
          <w:rFonts w:cs="Times New Roman"/>
          <w:lang w:val="en-GB"/>
        </w:rPr>
        <w:t>《地下水环境监测技术规范》（HJ164-2020）</w:t>
      </w:r>
    </w:p>
    <w:p>
      <w:pPr>
        <w:numPr>
          <w:ilvl w:val="0"/>
          <w:numId w:val="1"/>
        </w:numPr>
        <w:ind w:firstLine="560"/>
        <w:rPr>
          <w:rFonts w:cs="Times New Roman"/>
          <w:lang w:val="en-GB"/>
        </w:rPr>
      </w:pPr>
      <w:r>
        <w:rPr>
          <w:rFonts w:cs="Times New Roman"/>
          <w:lang w:val="en-GB"/>
        </w:rPr>
        <w:t>《地下水污染同位素源解析技术指南（试行）》</w:t>
      </w:r>
      <w:r>
        <w:rPr>
          <w:rFonts w:hint="eastAsia" w:cs="Times New Roman"/>
          <w:lang w:val="en-GB"/>
        </w:rPr>
        <w:t>（环办土壤〔2022〕16号）</w:t>
      </w:r>
    </w:p>
    <w:p>
      <w:pPr>
        <w:numPr>
          <w:ilvl w:val="0"/>
          <w:numId w:val="1"/>
        </w:numPr>
        <w:ind w:firstLine="560"/>
        <w:rPr>
          <w:rFonts w:cs="Times New Roman"/>
          <w:lang w:val="en-GB"/>
        </w:rPr>
      </w:pPr>
      <w:r>
        <w:rPr>
          <w:rFonts w:cs="Times New Roman"/>
          <w:lang w:val="en-GB"/>
        </w:rPr>
        <w:t>《区域地下水污染调查评价规范》(DZ T 0288-2015)</w:t>
      </w:r>
    </w:p>
    <w:p>
      <w:pPr>
        <w:numPr>
          <w:ilvl w:val="0"/>
          <w:numId w:val="1"/>
        </w:numPr>
        <w:ind w:firstLine="560"/>
        <w:rPr>
          <w:rFonts w:cs="Times New Roman"/>
          <w:lang w:val="en-GB"/>
        </w:rPr>
      </w:pPr>
      <w:r>
        <w:rPr>
          <w:rFonts w:cs="Times New Roman"/>
          <w:lang w:val="en-GB"/>
        </w:rPr>
        <w:t>《环境影响评价技术导则 地下水环境》(HJ 610-2016)</w:t>
      </w:r>
    </w:p>
    <w:p>
      <w:pPr>
        <w:numPr>
          <w:ilvl w:val="0"/>
          <w:numId w:val="1"/>
        </w:numPr>
        <w:ind w:firstLine="560"/>
        <w:rPr>
          <w:rFonts w:cs="Times New Roman"/>
          <w:lang w:val="en-GB"/>
        </w:rPr>
      </w:pPr>
      <w:r>
        <w:rPr>
          <w:rFonts w:cs="Times New Roman"/>
          <w:lang w:val="en-GB"/>
        </w:rPr>
        <w:t>《土壤环境监测技术规范》(HJ/T 166-2004)</w:t>
      </w:r>
    </w:p>
    <w:p>
      <w:pPr>
        <w:numPr>
          <w:ilvl w:val="0"/>
          <w:numId w:val="1"/>
        </w:numPr>
        <w:ind w:firstLine="560"/>
        <w:rPr>
          <w:rFonts w:cs="Times New Roman"/>
          <w:lang w:val="en-GB"/>
        </w:rPr>
      </w:pPr>
      <w:r>
        <w:rPr>
          <w:rFonts w:cs="Times New Roman"/>
          <w:lang w:val="en-GB"/>
        </w:rPr>
        <w:t>《</w:t>
      </w:r>
      <w:r>
        <w:rPr>
          <w:rFonts w:cs="Times New Roman"/>
        </w:rPr>
        <w:t>建设用地土壤污染状况调查技术导则</w:t>
      </w:r>
      <w:r>
        <w:rPr>
          <w:rFonts w:cs="Times New Roman"/>
          <w:lang w:val="en-GB"/>
        </w:rPr>
        <w:t>》(HJ 25.1-201</w:t>
      </w:r>
      <w:r>
        <w:rPr>
          <w:rFonts w:cs="Times New Roman"/>
        </w:rPr>
        <w:t>9</w:t>
      </w:r>
      <w:r>
        <w:rPr>
          <w:rFonts w:cs="Times New Roman"/>
          <w:lang w:val="en-GB"/>
        </w:rPr>
        <w:t>)</w:t>
      </w:r>
    </w:p>
    <w:p>
      <w:pPr>
        <w:numPr>
          <w:ilvl w:val="0"/>
          <w:numId w:val="1"/>
        </w:numPr>
        <w:ind w:firstLine="560"/>
        <w:rPr>
          <w:rFonts w:cs="Times New Roman"/>
          <w:lang w:val="en-GB"/>
        </w:rPr>
      </w:pPr>
      <w:r>
        <w:rPr>
          <w:rFonts w:cs="Times New Roman"/>
          <w:lang w:val="en-GB"/>
        </w:rPr>
        <w:t>《</w:t>
      </w:r>
      <w:r>
        <w:rPr>
          <w:rFonts w:cs="Times New Roman"/>
        </w:rPr>
        <w:t>建设用地土壤污染风险管控和修复监测技术导则</w:t>
      </w:r>
      <w:r>
        <w:rPr>
          <w:rFonts w:cs="Times New Roman"/>
          <w:lang w:val="en-GB"/>
        </w:rPr>
        <w:t>》(HJ 25.2-201</w:t>
      </w:r>
      <w:r>
        <w:rPr>
          <w:rFonts w:cs="Times New Roman"/>
        </w:rPr>
        <w:t>9</w:t>
      </w:r>
      <w:r>
        <w:rPr>
          <w:rFonts w:cs="Times New Roman"/>
          <w:lang w:val="en-GB"/>
        </w:rPr>
        <w:t>)</w:t>
      </w:r>
    </w:p>
    <w:p>
      <w:pPr>
        <w:numPr>
          <w:ilvl w:val="0"/>
          <w:numId w:val="1"/>
        </w:numPr>
        <w:ind w:firstLine="560"/>
        <w:rPr>
          <w:rFonts w:cs="Times New Roman"/>
          <w:lang w:val="en-GB"/>
        </w:rPr>
      </w:pPr>
      <w:r>
        <w:rPr>
          <w:rFonts w:cs="Times New Roman"/>
          <w:lang w:val="en-GB"/>
        </w:rPr>
        <w:t>《建设</w:t>
      </w:r>
      <w:r>
        <w:rPr>
          <w:rFonts w:cs="Times New Roman"/>
        </w:rPr>
        <w:t>用地土壤污染风险评估技术导则</w:t>
      </w:r>
      <w:r>
        <w:rPr>
          <w:rFonts w:cs="Times New Roman"/>
          <w:lang w:val="en-GB"/>
        </w:rPr>
        <w:t>》(HJ 25.3-201</w:t>
      </w:r>
      <w:r>
        <w:rPr>
          <w:rFonts w:cs="Times New Roman"/>
        </w:rPr>
        <w:t>9</w:t>
      </w:r>
      <w:r>
        <w:rPr>
          <w:rFonts w:cs="Times New Roman"/>
          <w:lang w:val="en-GB"/>
        </w:rPr>
        <w:t>)</w:t>
      </w:r>
    </w:p>
    <w:p>
      <w:pPr>
        <w:numPr>
          <w:ilvl w:val="0"/>
          <w:numId w:val="1"/>
        </w:numPr>
        <w:ind w:firstLine="560"/>
        <w:rPr>
          <w:rFonts w:cs="Times New Roman"/>
          <w:lang w:val="en-GB"/>
        </w:rPr>
      </w:pPr>
      <w:r>
        <w:rPr>
          <w:rFonts w:cs="Times New Roman"/>
          <w:lang w:val="en-GB"/>
        </w:rPr>
        <w:t>《水质样品的保存和管理技术规定》(HJ 493-2009)</w:t>
      </w:r>
    </w:p>
    <w:p>
      <w:pPr>
        <w:numPr>
          <w:ilvl w:val="0"/>
          <w:numId w:val="1"/>
        </w:numPr>
        <w:ind w:firstLine="560"/>
        <w:rPr>
          <w:rFonts w:cs="Times New Roman"/>
          <w:lang w:val="en-GB"/>
        </w:rPr>
      </w:pPr>
      <w:r>
        <w:rPr>
          <w:rFonts w:cs="Times New Roman"/>
          <w:lang w:val="en-GB"/>
        </w:rPr>
        <w:t>《地下水质量标准》(GB/T 14848-2017)</w:t>
      </w:r>
    </w:p>
    <w:p>
      <w:pPr>
        <w:numPr>
          <w:ilvl w:val="0"/>
          <w:numId w:val="1"/>
        </w:numPr>
        <w:ind w:firstLine="560"/>
        <w:rPr>
          <w:rFonts w:cs="Times New Roman"/>
          <w:lang w:val="en-GB"/>
        </w:rPr>
      </w:pPr>
      <w:r>
        <w:rPr>
          <w:rFonts w:cs="Times New Roman"/>
          <w:lang w:val="en-GB"/>
        </w:rPr>
        <w:t>《地表水环境质量标准》（GB 3838-2002）</w:t>
      </w:r>
    </w:p>
    <w:p>
      <w:pPr>
        <w:numPr>
          <w:ilvl w:val="0"/>
          <w:numId w:val="1"/>
        </w:numPr>
        <w:ind w:firstLine="560"/>
        <w:rPr>
          <w:rFonts w:cs="Times New Roman"/>
          <w:lang w:val="en-GB"/>
        </w:rPr>
      </w:pPr>
      <w:r>
        <w:rPr>
          <w:rFonts w:cs="Times New Roman"/>
          <w:lang w:val="en-GB"/>
        </w:rPr>
        <w:t>《土壤环境质量建设用地土壤污染风险管控标准（试行）》（GB 36600-2018）</w:t>
      </w:r>
    </w:p>
    <w:p>
      <w:pPr>
        <w:numPr>
          <w:ilvl w:val="0"/>
          <w:numId w:val="1"/>
        </w:numPr>
        <w:ind w:firstLine="560"/>
        <w:rPr>
          <w:rFonts w:cs="Times New Roman"/>
          <w:lang w:val="en-GB"/>
        </w:rPr>
      </w:pPr>
      <w:r>
        <w:rPr>
          <w:rFonts w:cs="Times New Roman"/>
          <w:lang w:val="en-GB"/>
        </w:rPr>
        <w:t>《土壤环境质量农用地土壤污染风险管控标准（试行）》（GB 15618-2018）</w:t>
      </w:r>
    </w:p>
    <w:p>
      <w:pPr>
        <w:numPr>
          <w:ilvl w:val="0"/>
          <w:numId w:val="1"/>
        </w:numPr>
        <w:ind w:firstLine="560"/>
        <w:rPr>
          <w:rFonts w:cs="Times New Roman"/>
          <w:lang w:val="en-GB"/>
        </w:rPr>
      </w:pPr>
      <w:r>
        <w:rPr>
          <w:rFonts w:cs="Times New Roman"/>
          <w:lang w:val="en-GB"/>
        </w:rPr>
        <w:t>《城镇污水处理厂污染物排放标准》（GB28918-2002）</w:t>
      </w:r>
    </w:p>
    <w:p>
      <w:pPr>
        <w:numPr>
          <w:ilvl w:val="0"/>
          <w:numId w:val="1"/>
        </w:numPr>
        <w:ind w:firstLine="560"/>
        <w:rPr>
          <w:rFonts w:cs="Times New Roman"/>
          <w:lang w:val="en-GB"/>
        </w:rPr>
      </w:pPr>
      <w:r>
        <w:rPr>
          <w:rFonts w:cs="Times New Roman"/>
          <w:lang w:val="en-GB"/>
        </w:rPr>
        <w:t>《农田灌溉水质标准》（GB 5084-2005）</w:t>
      </w:r>
    </w:p>
    <w:p>
      <w:pPr>
        <w:numPr>
          <w:ilvl w:val="0"/>
          <w:numId w:val="1"/>
        </w:numPr>
        <w:ind w:firstLine="560"/>
        <w:rPr>
          <w:rFonts w:cs="Times New Roman"/>
          <w:lang w:val="en-GB"/>
        </w:rPr>
      </w:pPr>
      <w:r>
        <w:rPr>
          <w:rFonts w:cs="Times New Roman"/>
          <w:lang w:val="en-GB"/>
        </w:rPr>
        <w:t>《场地土壤环境风险评价筛选值》（DB11/T811-2011）</w:t>
      </w:r>
    </w:p>
    <w:p>
      <w:pPr>
        <w:numPr>
          <w:ilvl w:val="0"/>
          <w:numId w:val="1"/>
        </w:numPr>
        <w:ind w:firstLine="560"/>
        <w:rPr>
          <w:rFonts w:cs="Times New Roman"/>
          <w:lang w:val="en-GB"/>
        </w:rPr>
      </w:pPr>
      <w:r>
        <w:rPr>
          <w:rFonts w:cs="Times New Roman"/>
          <w:lang w:val="en-GB"/>
        </w:rPr>
        <w:t>《工业企业场地环境调查评估与修复工作指南（试行）》</w:t>
      </w:r>
    </w:p>
    <w:p>
      <w:pPr>
        <w:numPr>
          <w:ilvl w:val="0"/>
          <w:numId w:val="1"/>
        </w:numPr>
        <w:ind w:firstLine="560"/>
        <w:rPr>
          <w:rFonts w:cs="Times New Roman"/>
          <w:lang w:val="en-GB"/>
        </w:rPr>
      </w:pPr>
      <w:r>
        <w:rPr>
          <w:rFonts w:cs="Times New Roman"/>
          <w:lang w:val="en-GB"/>
        </w:rPr>
        <w:t>《生活饮用水卫生标准》（GB 5749-20</w:t>
      </w:r>
      <w:r>
        <w:rPr>
          <w:rFonts w:hint="eastAsia" w:cs="Times New Roman"/>
        </w:rPr>
        <w:t>22</w:t>
      </w:r>
      <w:r>
        <w:rPr>
          <w:rFonts w:cs="Times New Roman"/>
          <w:lang w:val="en-GB"/>
        </w:rPr>
        <w:t>）</w:t>
      </w:r>
    </w:p>
    <w:p>
      <w:pPr>
        <w:numPr>
          <w:ilvl w:val="0"/>
          <w:numId w:val="1"/>
        </w:numPr>
        <w:ind w:firstLine="560"/>
        <w:rPr>
          <w:rFonts w:cs="Times New Roman"/>
          <w:lang w:val="en-GB"/>
        </w:rPr>
      </w:pPr>
      <w:r>
        <w:rPr>
          <w:rFonts w:cs="Times New Roman"/>
          <w:lang w:val="en-GB"/>
        </w:rPr>
        <w:t>《饮用水水源保护区划分技术规范》（HJ/T 338-2</w:t>
      </w:r>
      <w:r>
        <w:rPr>
          <w:rFonts w:cs="Times New Roman"/>
        </w:rPr>
        <w:t>018</w:t>
      </w:r>
      <w:r>
        <w:rPr>
          <w:rFonts w:cs="Times New Roman"/>
          <w:lang w:val="en-GB"/>
        </w:rPr>
        <w:t>）</w:t>
      </w:r>
    </w:p>
    <w:p>
      <w:pPr>
        <w:numPr>
          <w:ilvl w:val="0"/>
          <w:numId w:val="1"/>
        </w:numPr>
        <w:ind w:firstLine="560"/>
        <w:rPr>
          <w:lang w:val="en-GB"/>
        </w:rPr>
      </w:pPr>
      <w:r>
        <w:rPr>
          <w:rFonts w:cs="Times New Roman"/>
          <w:lang w:val="en-GB"/>
        </w:rPr>
        <w:t>《集中式饮用水水源地规范化建设环境保护技术要求》（HJ 773-2015）</w:t>
      </w:r>
    </w:p>
    <w:p>
      <w:pPr>
        <w:ind w:firstLine="560"/>
        <w:sectPr>
          <w:headerReference r:id="rId14" w:type="first"/>
          <w:footerReference r:id="rId17" w:type="first"/>
          <w:headerReference r:id="rId12" w:type="default"/>
          <w:footerReference r:id="rId15" w:type="default"/>
          <w:headerReference r:id="rId13" w:type="even"/>
          <w:footerReference r:id="rId16" w:type="even"/>
          <w:pgSz w:w="11906" w:h="16838"/>
          <w:pgMar w:top="1440" w:right="1800" w:bottom="1440" w:left="1800" w:header="851" w:footer="992" w:gutter="0"/>
          <w:pgNumType w:start="1"/>
          <w:cols w:space="425" w:num="1"/>
          <w:docGrid w:type="lines" w:linePitch="312" w:charSpace="0"/>
        </w:sectPr>
      </w:pPr>
    </w:p>
    <w:p>
      <w:pPr>
        <w:ind w:firstLine="560"/>
      </w:pPr>
    </w:p>
    <w:p>
      <w:pPr>
        <w:pStyle w:val="3"/>
      </w:pPr>
      <w:bookmarkStart w:id="54" w:name="_Toc118098345"/>
      <w:r>
        <w:rPr>
          <w:rFonts w:hint="eastAsia"/>
        </w:rPr>
        <w:t>第二章  实施区域概况</w:t>
      </w:r>
      <w:bookmarkEnd w:id="54"/>
    </w:p>
    <w:p>
      <w:pPr>
        <w:pStyle w:val="5"/>
        <w:ind w:firstLine="602"/>
        <w:rPr>
          <w:b/>
          <w:bCs/>
        </w:rPr>
      </w:pPr>
      <w:bookmarkStart w:id="55" w:name="_Toc118098346"/>
      <w:r>
        <w:rPr>
          <w:rFonts w:hint="eastAsia"/>
          <w:b/>
          <w:bCs/>
        </w:rPr>
        <w:t>2.1 自然环境概况</w:t>
      </w:r>
      <w:bookmarkEnd w:id="55"/>
    </w:p>
    <w:p>
      <w:pPr>
        <w:pStyle w:val="6"/>
        <w:spacing w:before="163" w:after="163"/>
        <w:ind w:firstLine="562"/>
      </w:pPr>
      <w:r>
        <w:rPr>
          <w:rFonts w:hint="eastAsia"/>
        </w:rPr>
        <w:t>2.1.</w:t>
      </w:r>
      <w:r>
        <w:t>1</w:t>
      </w:r>
      <w:r>
        <w:rPr>
          <w:rFonts w:hint="eastAsia"/>
        </w:rPr>
        <w:t xml:space="preserve"> </w:t>
      </w:r>
      <w:r>
        <w:t>地理位置</w:t>
      </w:r>
    </w:p>
    <w:p>
      <w:pPr>
        <w:ind w:firstLine="560"/>
        <w:rPr>
          <w:rFonts w:ascii="宋体" w:hAnsi="宋体"/>
          <w:szCs w:val="28"/>
        </w:rPr>
      </w:pPr>
      <w:r>
        <w:rPr>
          <w:rFonts w:hint="eastAsia" w:ascii="宋体" w:hAnsi="宋体"/>
          <w:szCs w:val="28"/>
        </w:rPr>
        <w:t>一亩泉水源地所在行政区域位于河北省中部的保定市，地理坐标：</w:t>
      </w:r>
      <w:r>
        <w:rPr>
          <w:rFonts w:ascii="宋体" w:hAnsi="宋体"/>
          <w:szCs w:val="28"/>
        </w:rPr>
        <w:t>东经113°40′</w:t>
      </w:r>
      <w:r>
        <w:rPr>
          <w:rFonts w:hint="eastAsia" w:ascii="宋体" w:hAnsi="宋体"/>
          <w:szCs w:val="28"/>
        </w:rPr>
        <w:t>-</w:t>
      </w:r>
      <w:r>
        <w:rPr>
          <w:rFonts w:ascii="宋体" w:hAnsi="宋体"/>
          <w:szCs w:val="28"/>
        </w:rPr>
        <w:t>116°20′，北纬38°15′</w:t>
      </w:r>
      <w:r>
        <w:rPr>
          <w:rFonts w:hint="eastAsia" w:ascii="宋体" w:hAnsi="宋体"/>
          <w:szCs w:val="28"/>
        </w:rPr>
        <w:t>-</w:t>
      </w:r>
      <w:r>
        <w:rPr>
          <w:rFonts w:ascii="宋体" w:hAnsi="宋体"/>
          <w:szCs w:val="28"/>
        </w:rPr>
        <w:t>39°57′。南距石家庄120km，北距北京140km，</w:t>
      </w:r>
      <w:r>
        <w:rPr>
          <w:rFonts w:hint="eastAsia" w:ascii="宋体" w:hAnsi="宋体"/>
          <w:szCs w:val="28"/>
        </w:rPr>
        <w:t>西部与山西省接壤，是连接石家庄-北京的重要交通枢纽，境内</w:t>
      </w:r>
      <w:r>
        <w:rPr>
          <w:rFonts w:ascii="宋体" w:hAnsi="宋体"/>
          <w:szCs w:val="28"/>
        </w:rPr>
        <w:t>张石高速、保沧高速、保阜高速、荣乌高速、京深线、保涞线、良顺线、京赞线、津保北线等国道省道穿境而过。全区辖4市（定州为省直管试点）、5区、15县(雄县、容城、安新三县由雄安新区托管)和2个开发区，总面积2.2万km</w:t>
      </w:r>
      <w:r>
        <w:rPr>
          <w:rFonts w:ascii="宋体" w:hAnsi="宋体"/>
          <w:szCs w:val="28"/>
          <w:vertAlign w:val="superscript"/>
        </w:rPr>
        <w:t>2</w:t>
      </w:r>
      <w:r>
        <w:rPr>
          <w:rFonts w:ascii="宋体" w:hAnsi="宋体"/>
          <w:szCs w:val="28"/>
        </w:rPr>
        <w:t>（不含雄安新区及定州</w:t>
      </w:r>
      <w:r>
        <w:rPr>
          <w:rFonts w:hint="eastAsia" w:ascii="宋体" w:hAnsi="宋体"/>
          <w:szCs w:val="28"/>
        </w:rPr>
        <w:t>市</w:t>
      </w:r>
      <w:r>
        <w:rPr>
          <w:rFonts w:ascii="宋体" w:hAnsi="宋体"/>
          <w:szCs w:val="28"/>
        </w:rPr>
        <w:t>1.93万km</w:t>
      </w:r>
      <w:r>
        <w:rPr>
          <w:rFonts w:ascii="宋体" w:hAnsi="宋体"/>
          <w:szCs w:val="28"/>
          <w:vertAlign w:val="superscript"/>
        </w:rPr>
        <w:t>2</w:t>
      </w:r>
      <w:r>
        <w:rPr>
          <w:rFonts w:ascii="宋体" w:hAnsi="宋体"/>
          <w:szCs w:val="28"/>
        </w:rPr>
        <w:t>），其中市区面积2531km</w:t>
      </w:r>
      <w:r>
        <w:rPr>
          <w:rFonts w:ascii="宋体" w:hAnsi="宋体"/>
          <w:szCs w:val="28"/>
          <w:vertAlign w:val="superscript"/>
        </w:rPr>
        <w:t>2</w:t>
      </w:r>
      <w:r>
        <w:rPr>
          <w:rFonts w:ascii="宋体" w:hAnsi="宋体"/>
          <w:szCs w:val="28"/>
        </w:rPr>
        <w:t>，人口315.35万。</w:t>
      </w:r>
    </w:p>
    <w:p>
      <w:pPr>
        <w:ind w:firstLine="0" w:firstLineChars="0"/>
        <w:jc w:val="center"/>
      </w:pPr>
      <w:r>
        <w:rPr>
          <w:rFonts w:hint="eastAsia"/>
        </w:rPr>
        <w:drawing>
          <wp:inline distT="0" distB="0" distL="114300" distR="114300">
            <wp:extent cx="5175885" cy="4543425"/>
            <wp:effectExtent l="9525" t="9525" r="11430" b="19050"/>
            <wp:docPr id="1" name="图片 1" descr="保定市-交通位置图A3 一亩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保定市-交通位置图A3 一亩泉"/>
                    <pic:cNvPicPr>
                      <a:picLocks noChangeAspect="1"/>
                    </pic:cNvPicPr>
                  </pic:nvPicPr>
                  <pic:blipFill>
                    <a:blip r:embed="rId22"/>
                    <a:srcRect l="9031" t="12628" r="7610" b="35591"/>
                    <a:stretch>
                      <a:fillRect/>
                    </a:stretch>
                  </pic:blipFill>
                  <pic:spPr>
                    <a:xfrm>
                      <a:off x="0" y="0"/>
                      <a:ext cx="5175885" cy="4543425"/>
                    </a:xfrm>
                    <a:prstGeom prst="rect">
                      <a:avLst/>
                    </a:prstGeom>
                    <a:ln>
                      <a:solidFill>
                        <a:schemeClr val="tx1"/>
                      </a:solidFill>
                    </a:ln>
                  </pic:spPr>
                </pic:pic>
              </a:graphicData>
            </a:graphic>
          </wp:inline>
        </w:drawing>
      </w:r>
    </w:p>
    <w:p>
      <w:pPr>
        <w:pStyle w:val="62"/>
        <w:spacing w:before="156" w:after="156"/>
        <w:rPr>
          <w:rFonts w:ascii="黑体" w:hAnsi="黑体" w:eastAsia="黑体" w:cs="黑体"/>
          <w:b w:val="0"/>
          <w:bCs w:val="0"/>
        </w:rPr>
      </w:pPr>
      <w:r>
        <w:rPr>
          <w:rFonts w:hint="eastAsia" w:ascii="黑体" w:hAnsi="黑体" w:eastAsia="黑体" w:cs="黑体"/>
          <w:b w:val="0"/>
          <w:bCs w:val="0"/>
        </w:rPr>
        <w:t>图2-1 工作区地理位置示意图</w:t>
      </w:r>
    </w:p>
    <w:p>
      <w:pPr>
        <w:ind w:firstLine="560"/>
        <w:rPr>
          <w:rFonts w:ascii="宋体" w:hAnsi="宋体"/>
          <w:szCs w:val="28"/>
        </w:rPr>
      </w:pPr>
      <w:r>
        <w:rPr>
          <w:rFonts w:hint="eastAsia" w:ascii="宋体" w:hAnsi="宋体"/>
          <w:szCs w:val="28"/>
        </w:rPr>
        <w:t>一亩泉水源地取水井群位于满城区和竞秀区辖域交界处，</w:t>
      </w:r>
      <w:r>
        <w:rPr>
          <w:rFonts w:ascii="宋体" w:hAnsi="宋体"/>
          <w:szCs w:val="28"/>
        </w:rPr>
        <w:t>供水单位为保定市保满路（一亩泉村南）的保定市供水总公司二水厂。目前一亩泉水源地为应急备用水源地。</w:t>
      </w:r>
    </w:p>
    <w:p>
      <w:pPr>
        <w:ind w:firstLine="560"/>
        <w:rPr>
          <w:lang w:val="en-GB"/>
        </w:rPr>
      </w:pPr>
      <w:r>
        <w:rPr>
          <w:rFonts w:ascii="宋体" w:hAnsi="宋体"/>
          <w:szCs w:val="28"/>
        </w:rPr>
        <w:t>一亩泉水源地地下水经水泵取水后，通过北线（DN1000㎜、DN1200㎜）、南线（DN1000㎜）两条低压输水干线，分别向保定市供水总公司二水厂的南厂蓄水池（容量8000m3），西厂蓄水池（容量12000m3）补水，经消毒、蓄水池、加压后自西向东输送至市主城区供水管网，最终入用水用户。</w:t>
      </w:r>
    </w:p>
    <w:p>
      <w:pPr>
        <w:pStyle w:val="6"/>
        <w:spacing w:before="163" w:after="163"/>
        <w:ind w:firstLine="562"/>
      </w:pPr>
      <w:r>
        <w:rPr>
          <w:rFonts w:hint="eastAsia"/>
        </w:rPr>
        <w:t>2.1.2地形地貌</w:t>
      </w:r>
    </w:p>
    <w:p>
      <w:pPr>
        <w:ind w:firstLine="560"/>
        <w:rPr>
          <w:rFonts w:ascii="宋体" w:hAnsi="宋体"/>
          <w:szCs w:val="28"/>
        </w:rPr>
      </w:pPr>
      <w:r>
        <w:rPr>
          <w:rFonts w:ascii="宋体" w:hAnsi="宋体"/>
          <w:szCs w:val="28"/>
        </w:rPr>
        <w:t>水源地所在区域地处山前漕河、界河冲洪积扇区，西部为太行山北段东麓低山丘陵侵蚀地形，东部为河北平原，地势低平，由西向东微倾斜，按地貌形态分为低山丘陵区和山前平原区。</w:t>
      </w:r>
    </w:p>
    <w:p>
      <w:pPr>
        <w:ind w:firstLine="560"/>
        <w:rPr>
          <w:rFonts w:ascii="宋体" w:hAnsi="宋体"/>
          <w:szCs w:val="28"/>
        </w:rPr>
      </w:pPr>
      <w:r>
        <w:rPr>
          <w:rFonts w:ascii="宋体" w:hAnsi="宋体"/>
          <w:szCs w:val="28"/>
        </w:rPr>
        <w:t>一亩泉水源地与供水单位以及输水管网所穿越位置位于山前平原。</w:t>
      </w:r>
    </w:p>
    <w:p>
      <w:pPr>
        <w:ind w:firstLine="560"/>
        <w:rPr>
          <w:rFonts w:ascii="宋体" w:hAnsi="宋体"/>
          <w:szCs w:val="28"/>
        </w:rPr>
      </w:pPr>
      <w:r>
        <w:rPr>
          <w:rFonts w:hint="eastAsia" w:ascii="宋体" w:hAnsi="宋体"/>
          <w:szCs w:val="28"/>
        </w:rPr>
        <w:t>（1）</w:t>
      </w:r>
      <w:r>
        <w:rPr>
          <w:rFonts w:ascii="宋体" w:hAnsi="宋体"/>
          <w:szCs w:val="28"/>
        </w:rPr>
        <w:t>低山丘陵地貌</w:t>
      </w:r>
    </w:p>
    <w:p>
      <w:pPr>
        <w:ind w:firstLine="560"/>
        <w:rPr>
          <w:rFonts w:ascii="宋体" w:hAnsi="宋体"/>
          <w:szCs w:val="28"/>
        </w:rPr>
      </w:pPr>
      <w:r>
        <w:rPr>
          <w:rFonts w:ascii="宋体" w:hAnsi="宋体"/>
          <w:szCs w:val="28"/>
        </w:rPr>
        <w:t>分布于工作区西北部的雾山、千家庄、抱阳村一带，岩性主要为蓟县系雾迷山组白云岩，标高一般在200-400m之间，最高416m。相对高差一般在100-200m。山顶多呈浑圆状，两侧陡峭。坡角10°-30°。岩层表面受到不同程度的岩溶化作用，局部可见溶沟、溶槽，宽度一般0.3-0.8m，深0.3-0.5m。</w:t>
      </w:r>
    </w:p>
    <w:p>
      <w:pPr>
        <w:ind w:firstLine="560"/>
        <w:rPr>
          <w:rFonts w:ascii="宋体" w:hAnsi="宋体"/>
          <w:szCs w:val="28"/>
        </w:rPr>
      </w:pPr>
      <w:r>
        <w:rPr>
          <w:rFonts w:hint="eastAsia" w:ascii="宋体" w:hAnsi="宋体"/>
          <w:szCs w:val="28"/>
        </w:rPr>
        <w:t>（2）</w:t>
      </w:r>
      <w:r>
        <w:rPr>
          <w:rFonts w:ascii="宋体" w:hAnsi="宋体"/>
          <w:szCs w:val="28"/>
        </w:rPr>
        <w:t>山前</w:t>
      </w:r>
      <w:r>
        <w:rPr>
          <w:rFonts w:hint="eastAsia" w:ascii="宋体" w:hAnsi="宋体"/>
          <w:szCs w:val="28"/>
        </w:rPr>
        <w:t>冲积</w:t>
      </w:r>
      <w:r>
        <w:rPr>
          <w:rFonts w:ascii="宋体" w:hAnsi="宋体"/>
          <w:szCs w:val="28"/>
        </w:rPr>
        <w:t>平原</w:t>
      </w:r>
    </w:p>
    <w:p>
      <w:pPr>
        <w:ind w:firstLine="560"/>
        <w:rPr>
          <w:rFonts w:ascii="宋体" w:hAnsi="宋体"/>
          <w:szCs w:val="28"/>
        </w:rPr>
      </w:pPr>
      <w:r>
        <w:rPr>
          <w:rFonts w:ascii="宋体" w:hAnsi="宋体"/>
          <w:szCs w:val="28"/>
        </w:rPr>
        <w:t>由漕河、界河冲洪积扇叠加而成，为冲洪积堆积地貌。岩性为卵石、中粗砂、细砂、粉质粘土、粘质粉土。标高一般在20-80m之间，地形平坦，微向东倾斜。</w:t>
      </w:r>
    </w:p>
    <w:p>
      <w:pPr>
        <w:ind w:firstLine="560"/>
        <w:rPr>
          <w:rFonts w:ascii="宋体" w:hAnsi="宋体"/>
          <w:szCs w:val="28"/>
        </w:rPr>
      </w:pPr>
      <w:r>
        <w:rPr>
          <w:rFonts w:ascii="宋体" w:hAnsi="宋体"/>
          <w:szCs w:val="28"/>
        </w:rPr>
        <w:t>北部在漕河的冲积和洪积作用下，形成了漕河冲洪积扇，扇轴大致在王各庄</w:t>
      </w:r>
      <w:r>
        <w:rPr>
          <w:rFonts w:hint="eastAsia" w:ascii="宋体" w:hAnsi="宋体"/>
          <w:szCs w:val="28"/>
        </w:rPr>
        <w:t>-</w:t>
      </w:r>
      <w:r>
        <w:rPr>
          <w:rFonts w:ascii="宋体" w:hAnsi="宋体"/>
          <w:szCs w:val="28"/>
        </w:rPr>
        <w:t>要庄</w:t>
      </w:r>
      <w:r>
        <w:rPr>
          <w:rFonts w:hint="eastAsia" w:ascii="宋体" w:hAnsi="宋体"/>
          <w:szCs w:val="28"/>
        </w:rPr>
        <w:t>-</w:t>
      </w:r>
      <w:r>
        <w:rPr>
          <w:rFonts w:ascii="宋体" w:hAnsi="宋体"/>
          <w:szCs w:val="28"/>
        </w:rPr>
        <w:t>周庄一线，冲积扇前缘在前大留村-周庄北章村一线，扇区面积约63.98km</w:t>
      </w:r>
      <w:r>
        <w:rPr>
          <w:rFonts w:ascii="宋体" w:hAnsi="宋体"/>
          <w:szCs w:val="28"/>
          <w:vertAlign w:val="superscript"/>
        </w:rPr>
        <w:t>2</w:t>
      </w:r>
      <w:r>
        <w:rPr>
          <w:rFonts w:ascii="宋体" w:hAnsi="宋体"/>
          <w:szCs w:val="28"/>
        </w:rPr>
        <w:t>。</w:t>
      </w:r>
    </w:p>
    <w:p>
      <w:pPr>
        <w:ind w:firstLine="560"/>
        <w:rPr>
          <w:rFonts w:ascii="宋体" w:hAnsi="宋体"/>
          <w:szCs w:val="28"/>
        </w:rPr>
      </w:pPr>
      <w:r>
        <w:rPr>
          <w:rFonts w:ascii="宋体" w:hAnsi="宋体"/>
          <w:szCs w:val="28"/>
        </w:rPr>
        <w:t>界河在抱阳村出山后形成较大规模的界河冲洪积扇，扇轴大致沿南伍侯-大固店-庞村一线，扇前缘在许家庄</w:t>
      </w:r>
      <w:r>
        <w:rPr>
          <w:rFonts w:hint="eastAsia" w:ascii="宋体" w:hAnsi="宋体"/>
          <w:szCs w:val="28"/>
        </w:rPr>
        <w:t>-</w:t>
      </w:r>
      <w:r>
        <w:rPr>
          <w:rFonts w:ascii="宋体" w:hAnsi="宋体"/>
          <w:szCs w:val="28"/>
        </w:rPr>
        <w:t>江城</w:t>
      </w:r>
      <w:r>
        <w:rPr>
          <w:rFonts w:hint="eastAsia" w:ascii="宋体" w:hAnsi="宋体"/>
          <w:szCs w:val="28"/>
        </w:rPr>
        <w:t>-</w:t>
      </w:r>
      <w:r>
        <w:rPr>
          <w:rFonts w:ascii="宋体" w:hAnsi="宋体"/>
          <w:szCs w:val="28"/>
        </w:rPr>
        <w:t>后高庄村</w:t>
      </w:r>
      <w:r>
        <w:rPr>
          <w:rFonts w:hint="eastAsia" w:ascii="宋体" w:hAnsi="宋体"/>
          <w:szCs w:val="28"/>
        </w:rPr>
        <w:t>-</w:t>
      </w:r>
      <w:r>
        <w:rPr>
          <w:rFonts w:ascii="宋体" w:hAnsi="宋体"/>
          <w:szCs w:val="28"/>
        </w:rPr>
        <w:t>郭村</w:t>
      </w:r>
      <w:r>
        <w:rPr>
          <w:rFonts w:hint="eastAsia" w:ascii="宋体" w:hAnsi="宋体"/>
          <w:szCs w:val="28"/>
        </w:rPr>
        <w:t>-</w:t>
      </w:r>
      <w:r>
        <w:rPr>
          <w:rFonts w:ascii="宋体" w:hAnsi="宋体"/>
          <w:szCs w:val="28"/>
        </w:rPr>
        <w:t>西北堡一线，扇区面积约149.19km</w:t>
      </w:r>
      <w:r>
        <w:rPr>
          <w:rFonts w:ascii="宋体" w:hAnsi="宋体"/>
          <w:szCs w:val="28"/>
          <w:vertAlign w:val="superscript"/>
        </w:rPr>
        <w:t>2</w:t>
      </w:r>
      <w:r>
        <w:rPr>
          <w:rFonts w:ascii="宋体" w:hAnsi="宋体"/>
          <w:szCs w:val="28"/>
        </w:rPr>
        <w:t>。</w:t>
      </w:r>
    </w:p>
    <w:p>
      <w:pPr>
        <w:ind w:firstLine="560"/>
        <w:rPr>
          <w:rFonts w:ascii="宋体" w:hAnsi="宋体"/>
          <w:szCs w:val="28"/>
        </w:rPr>
      </w:pPr>
      <w:r>
        <w:rPr>
          <w:rFonts w:ascii="宋体" w:hAnsi="宋体"/>
          <w:szCs w:val="28"/>
        </w:rPr>
        <w:t>历史上界河曾在抱阳山北部柳家佐村出山口形成较小规模的冲洪积扇。漕河、界河的多次冲洪积叠加及河流改道作用，形成现在的地形地貌。</w:t>
      </w:r>
    </w:p>
    <w:p>
      <w:pPr>
        <w:ind w:firstLine="0" w:firstLineChars="0"/>
        <w:rPr>
          <w:rFonts w:ascii="宋体" w:hAnsi="宋体"/>
          <w:szCs w:val="28"/>
        </w:rPr>
      </w:pPr>
      <w:r>
        <w:rPr>
          <w:rFonts w:hint="eastAsia" w:ascii="宋体" w:hAnsi="宋体"/>
          <w:szCs w:val="28"/>
        </w:rPr>
        <w:drawing>
          <wp:inline distT="0" distB="0" distL="114300" distR="114300">
            <wp:extent cx="5264150" cy="6453505"/>
            <wp:effectExtent l="0" t="0" r="8890" b="8255"/>
            <wp:docPr id="9" name="图片 9" descr="一亩泉工作区地貌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一亩泉工作区地貌图"/>
                    <pic:cNvPicPr>
                      <a:picLocks noChangeAspect="1"/>
                    </pic:cNvPicPr>
                  </pic:nvPicPr>
                  <pic:blipFill>
                    <a:blip r:embed="rId23"/>
                    <a:stretch>
                      <a:fillRect/>
                    </a:stretch>
                  </pic:blipFill>
                  <pic:spPr>
                    <a:xfrm>
                      <a:off x="0" y="0"/>
                      <a:ext cx="5264150" cy="6453505"/>
                    </a:xfrm>
                    <a:prstGeom prst="rect">
                      <a:avLst/>
                    </a:prstGeom>
                  </pic:spPr>
                </pic:pic>
              </a:graphicData>
            </a:graphic>
          </wp:inline>
        </w:drawing>
      </w:r>
    </w:p>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图2-2 一亩泉所在区域地形地貌图</w:t>
      </w:r>
    </w:p>
    <w:p>
      <w:pPr>
        <w:pStyle w:val="6"/>
        <w:spacing w:before="163" w:after="163"/>
        <w:ind w:firstLine="562"/>
      </w:pPr>
      <w:r>
        <w:rPr>
          <w:rFonts w:hint="eastAsia"/>
        </w:rPr>
        <w:t>2.1.3气象</w:t>
      </w:r>
    </w:p>
    <w:p>
      <w:pPr>
        <w:ind w:firstLine="560"/>
        <w:rPr>
          <w:rFonts w:ascii="宋体" w:hAnsi="宋体"/>
          <w:szCs w:val="28"/>
        </w:rPr>
      </w:pPr>
      <w:r>
        <w:rPr>
          <w:rFonts w:ascii="宋体" w:hAnsi="宋体"/>
          <w:szCs w:val="28"/>
        </w:rPr>
        <w:t>工作区属暖温带大陆性季风气候区，主要气候特点是：四季分明，春季干燥多风，夏季炎热多雨，秋季天高气爽，冬季寒冷干燥。多年平均气温13.4℃，1月平均气温4.3℃，7月平均气温26.4℃。年平均日照时数2511.0小时，占可照时数的56%。主导风向为东南风和西北风，年平均风速1.8m/s，无霜期190天。</w:t>
      </w:r>
    </w:p>
    <w:p>
      <w:pPr>
        <w:ind w:firstLine="560"/>
        <w:rPr>
          <w:rFonts w:ascii="宋体" w:hAnsi="宋体"/>
          <w:szCs w:val="28"/>
        </w:rPr>
      </w:pPr>
      <w:r>
        <w:rPr>
          <w:rFonts w:hint="eastAsia" w:ascii="宋体" w:hAnsi="宋体"/>
          <w:szCs w:val="28"/>
        </w:rPr>
        <w:t>（1）</w:t>
      </w:r>
      <w:r>
        <w:rPr>
          <w:rFonts w:ascii="宋体" w:hAnsi="宋体"/>
          <w:szCs w:val="28"/>
        </w:rPr>
        <w:t>降水量</w:t>
      </w:r>
    </w:p>
    <w:p>
      <w:pPr>
        <w:ind w:firstLine="560"/>
        <w:rPr>
          <w:rFonts w:ascii="宋体" w:hAnsi="宋体"/>
          <w:szCs w:val="28"/>
        </w:rPr>
      </w:pPr>
      <w:r>
        <w:rPr>
          <w:rFonts w:ascii="宋体" w:hAnsi="宋体"/>
          <w:szCs w:val="28"/>
        </w:rPr>
        <w:t>工作区一带降雨具有年内、年际不均一的特征，2009-2019年多年平均降水量575.31mm（图</w:t>
      </w:r>
      <w:r>
        <w:rPr>
          <w:rFonts w:hint="eastAsia" w:ascii="宋体" w:hAnsi="宋体"/>
          <w:szCs w:val="28"/>
        </w:rPr>
        <w:t>2</w:t>
      </w:r>
      <w:r>
        <w:rPr>
          <w:rFonts w:ascii="宋体" w:hAnsi="宋体"/>
          <w:szCs w:val="28"/>
        </w:rPr>
        <w:t>-3）。年最大降雨量为758.80mm(2013年），年最小降雨量为426.00mm(2016年）；年平均降水日数为68天；年降水量集中在6、7、8、9四个月，降水约占年降水量的80%左右（图</w:t>
      </w:r>
      <w:r>
        <w:rPr>
          <w:rFonts w:hint="eastAsia" w:ascii="宋体" w:hAnsi="宋体"/>
          <w:szCs w:val="28"/>
        </w:rPr>
        <w:t>2</w:t>
      </w:r>
      <w:r>
        <w:rPr>
          <w:rFonts w:ascii="宋体" w:hAnsi="宋体"/>
          <w:szCs w:val="28"/>
        </w:rPr>
        <w:t>-4）</w:t>
      </w:r>
      <w:r>
        <w:rPr>
          <w:rFonts w:hint="eastAsia" w:ascii="宋体" w:hAnsi="宋体"/>
          <w:szCs w:val="28"/>
        </w:rPr>
        <w:t>，工作区所在地级市保定市降雨量等值线图见图2-5</w:t>
      </w:r>
      <w:r>
        <w:rPr>
          <w:rFonts w:ascii="宋体" w:hAnsi="宋体"/>
          <w:szCs w:val="28"/>
        </w:rPr>
        <w:t>。</w:t>
      </w:r>
    </w:p>
    <w:p>
      <w:pPr>
        <w:ind w:firstLine="0" w:firstLineChars="0"/>
        <w:jc w:val="center"/>
      </w:pPr>
      <w:r>
        <w:drawing>
          <wp:inline distT="0" distB="0" distL="114300" distR="114300">
            <wp:extent cx="5125085" cy="2699385"/>
            <wp:effectExtent l="9525" t="9525" r="16510" b="1905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4"/>
                    <a:srcRect l="1699" t="3198" r="1048" b="1722"/>
                    <a:stretch>
                      <a:fillRect/>
                    </a:stretch>
                  </pic:blipFill>
                  <pic:spPr>
                    <a:xfrm>
                      <a:off x="0" y="0"/>
                      <a:ext cx="5125085" cy="2699385"/>
                    </a:xfrm>
                    <a:prstGeom prst="rect">
                      <a:avLst/>
                    </a:prstGeom>
                    <a:noFill/>
                    <a:ln>
                      <a:solidFill>
                        <a:schemeClr val="tx1"/>
                      </a:solidFill>
                    </a:ln>
                  </pic:spPr>
                </pic:pic>
              </a:graphicData>
            </a:graphic>
          </wp:inline>
        </w:drawing>
      </w:r>
    </w:p>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图2-3 工作区2009-2019年平均降雨量柱状图</w:t>
      </w:r>
    </w:p>
    <w:p>
      <w:pPr>
        <w:ind w:firstLine="0" w:firstLineChars="0"/>
        <w:jc w:val="center"/>
      </w:pPr>
      <w:r>
        <w:drawing>
          <wp:inline distT="0" distB="0" distL="114300" distR="114300">
            <wp:extent cx="5154930" cy="2853055"/>
            <wp:effectExtent l="9525" t="9525" r="17145" b="1778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5"/>
                    <a:srcRect l="1277" t="1937" r="940" b="2406"/>
                    <a:stretch>
                      <a:fillRect/>
                    </a:stretch>
                  </pic:blipFill>
                  <pic:spPr>
                    <a:xfrm>
                      <a:off x="0" y="0"/>
                      <a:ext cx="5154930" cy="2853055"/>
                    </a:xfrm>
                    <a:prstGeom prst="rect">
                      <a:avLst/>
                    </a:prstGeom>
                    <a:noFill/>
                    <a:ln>
                      <a:solidFill>
                        <a:schemeClr val="tx1"/>
                      </a:solidFill>
                    </a:ln>
                  </pic:spPr>
                </pic:pic>
              </a:graphicData>
            </a:graphic>
          </wp:inline>
        </w:drawing>
      </w:r>
    </w:p>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图2-4 工作区2019年各月降雨量占比图</w:t>
      </w:r>
    </w:p>
    <w:p>
      <w:pPr>
        <w:pStyle w:val="62"/>
        <w:spacing w:before="156" w:after="156"/>
      </w:pPr>
      <w:r>
        <w:drawing>
          <wp:inline distT="0" distB="0" distL="114300" distR="114300">
            <wp:extent cx="5122545" cy="4323080"/>
            <wp:effectExtent l="9525" t="9525" r="19050" b="1079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26"/>
                    <a:srcRect l="1385" t="1139" r="1445" b="3108"/>
                    <a:stretch>
                      <a:fillRect/>
                    </a:stretch>
                  </pic:blipFill>
                  <pic:spPr>
                    <a:xfrm>
                      <a:off x="0" y="0"/>
                      <a:ext cx="5122545" cy="4323080"/>
                    </a:xfrm>
                    <a:prstGeom prst="rect">
                      <a:avLst/>
                    </a:prstGeom>
                    <a:noFill/>
                    <a:ln>
                      <a:solidFill>
                        <a:schemeClr val="tx1"/>
                      </a:solidFill>
                    </a:ln>
                  </pic:spPr>
                </pic:pic>
              </a:graphicData>
            </a:graphic>
          </wp:inline>
        </w:drawing>
      </w:r>
    </w:p>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图2-5 工作区所在地区-保定市2019年降雨量等值线图</w:t>
      </w:r>
    </w:p>
    <w:p>
      <w:pPr>
        <w:ind w:firstLine="560"/>
        <w:rPr>
          <w:rFonts w:ascii="宋体" w:hAnsi="宋体"/>
          <w:szCs w:val="28"/>
        </w:rPr>
      </w:pPr>
      <w:r>
        <w:rPr>
          <w:rFonts w:ascii="宋体" w:hAnsi="宋体"/>
          <w:szCs w:val="28"/>
        </w:rPr>
        <w:t>（2）蒸发量</w:t>
      </w:r>
    </w:p>
    <w:p>
      <w:pPr>
        <w:ind w:firstLine="560"/>
        <w:rPr>
          <w:rFonts w:ascii="宋体" w:hAnsi="宋体"/>
          <w:szCs w:val="28"/>
        </w:rPr>
      </w:pPr>
      <w:r>
        <w:rPr>
          <w:rFonts w:ascii="宋体" w:hAnsi="宋体"/>
          <w:szCs w:val="28"/>
        </w:rPr>
        <w:t>工作区多年平均水面蒸发量1429.90mm，降水量与水面蒸发</w:t>
      </w:r>
    </w:p>
    <w:p>
      <w:pPr>
        <w:ind w:firstLine="560"/>
        <w:rPr>
          <w:rFonts w:ascii="宋体" w:hAnsi="宋体"/>
          <w:szCs w:val="28"/>
        </w:rPr>
      </w:pPr>
      <w:r>
        <w:rPr>
          <w:rFonts w:ascii="宋体" w:hAnsi="宋体"/>
          <w:szCs w:val="28"/>
        </w:rPr>
        <w:t>量比值0.43。年内夏季蒸发量占全年的42.50%，其余季节占全</w:t>
      </w:r>
    </w:p>
    <w:p>
      <w:pPr>
        <w:ind w:firstLine="560"/>
        <w:rPr>
          <w:rFonts w:ascii="宋体" w:hAnsi="宋体"/>
          <w:szCs w:val="28"/>
        </w:rPr>
      </w:pPr>
      <w:r>
        <w:rPr>
          <w:rFonts w:ascii="宋体" w:hAnsi="宋体"/>
          <w:szCs w:val="28"/>
        </w:rPr>
        <w:t>年的57.50%（图</w:t>
      </w:r>
      <w:r>
        <w:rPr>
          <w:rFonts w:hint="eastAsia" w:ascii="宋体" w:hAnsi="宋体"/>
          <w:szCs w:val="28"/>
        </w:rPr>
        <w:t>2</w:t>
      </w:r>
      <w:r>
        <w:rPr>
          <w:rFonts w:ascii="宋体" w:hAnsi="宋体"/>
          <w:szCs w:val="28"/>
        </w:rPr>
        <w:t>-6）。</w:t>
      </w:r>
    </w:p>
    <w:p>
      <w:pPr>
        <w:pStyle w:val="62"/>
        <w:spacing w:before="156" w:after="156"/>
      </w:pPr>
      <w:r>
        <w:drawing>
          <wp:inline distT="0" distB="0" distL="114300" distR="114300">
            <wp:extent cx="5158105" cy="2851150"/>
            <wp:effectExtent l="9525" t="9525" r="13970" b="1968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27"/>
                    <a:srcRect l="783" t="1853" r="1361" b="2534"/>
                    <a:stretch>
                      <a:fillRect/>
                    </a:stretch>
                  </pic:blipFill>
                  <pic:spPr>
                    <a:xfrm>
                      <a:off x="0" y="0"/>
                      <a:ext cx="5158105" cy="2851150"/>
                    </a:xfrm>
                    <a:prstGeom prst="rect">
                      <a:avLst/>
                    </a:prstGeom>
                    <a:noFill/>
                    <a:ln>
                      <a:solidFill>
                        <a:schemeClr val="tx1"/>
                      </a:solidFill>
                    </a:ln>
                  </pic:spPr>
                </pic:pic>
              </a:graphicData>
            </a:graphic>
          </wp:inline>
        </w:drawing>
      </w:r>
    </w:p>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图2-6 工作区所在地区保定市2019年月蒸发量柱状图</w:t>
      </w:r>
    </w:p>
    <w:p>
      <w:pPr>
        <w:pStyle w:val="6"/>
        <w:spacing w:before="163" w:after="163"/>
        <w:ind w:firstLine="562"/>
      </w:pPr>
      <w:r>
        <w:rPr>
          <w:rFonts w:hint="eastAsia"/>
        </w:rPr>
        <w:t>2.1.4水文</w:t>
      </w:r>
    </w:p>
    <w:p>
      <w:pPr>
        <w:ind w:firstLine="560"/>
        <w:rPr>
          <w:rFonts w:ascii="宋体" w:hAnsi="宋体"/>
          <w:szCs w:val="28"/>
        </w:rPr>
      </w:pPr>
      <w:r>
        <w:rPr>
          <w:rFonts w:hint="eastAsia" w:ascii="宋体" w:hAnsi="宋体"/>
          <w:szCs w:val="28"/>
        </w:rPr>
        <w:t>区内</w:t>
      </w:r>
      <w:r>
        <w:rPr>
          <w:rFonts w:ascii="宋体" w:hAnsi="宋体"/>
          <w:szCs w:val="28"/>
        </w:rPr>
        <w:t>河流水系属大清河水系，水源地北部为漕河，自西向东径流，中部有一亩泉河，南部为西向东界河河流。</w:t>
      </w:r>
    </w:p>
    <w:p>
      <w:pPr>
        <w:ind w:firstLine="560"/>
        <w:rPr>
          <w:rFonts w:ascii="宋体" w:hAnsi="宋体"/>
          <w:szCs w:val="28"/>
        </w:rPr>
      </w:pPr>
      <w:r>
        <w:rPr>
          <w:rFonts w:hint="eastAsia" w:ascii="宋体" w:hAnsi="宋体"/>
          <w:szCs w:val="28"/>
        </w:rPr>
        <w:t>（1）</w:t>
      </w:r>
      <w:r>
        <w:rPr>
          <w:rFonts w:ascii="宋体" w:hAnsi="宋体"/>
          <w:szCs w:val="28"/>
        </w:rPr>
        <w:t>漕河</w:t>
      </w:r>
    </w:p>
    <w:p>
      <w:pPr>
        <w:ind w:firstLine="560"/>
        <w:rPr>
          <w:rFonts w:ascii="宋体" w:hAnsi="宋体"/>
          <w:szCs w:val="28"/>
        </w:rPr>
      </w:pPr>
      <w:r>
        <w:rPr>
          <w:rFonts w:ascii="宋体" w:hAnsi="宋体"/>
          <w:szCs w:val="28"/>
        </w:rPr>
        <w:t>发源于太行山东麓易县五回岭，狼牙山脚下，由龙门入满城境内，山区流域面积610km</w:t>
      </w:r>
      <w:r>
        <w:rPr>
          <w:rFonts w:ascii="宋体" w:hAnsi="宋体"/>
          <w:szCs w:val="28"/>
          <w:vertAlign w:val="superscript"/>
        </w:rPr>
        <w:t>2</w:t>
      </w:r>
      <w:r>
        <w:rPr>
          <w:rFonts w:ascii="宋体" w:hAnsi="宋体"/>
          <w:szCs w:val="28"/>
        </w:rPr>
        <w:t>，平原区为190km</w:t>
      </w:r>
      <w:r>
        <w:rPr>
          <w:rFonts w:ascii="宋体" w:hAnsi="宋体"/>
          <w:szCs w:val="28"/>
          <w:vertAlign w:val="superscript"/>
        </w:rPr>
        <w:t>2</w:t>
      </w:r>
      <w:r>
        <w:rPr>
          <w:rFonts w:ascii="宋体" w:hAnsi="宋体"/>
          <w:szCs w:val="28"/>
        </w:rPr>
        <w:t>。满城境内河长26.3km，河床纵坡降1-2.5%，流经满城区白龙乡、神星镇、大册营镇、要庄乡，沿河共分布33个村庄，至高新区贤台乡西庄村入境高新区。</w:t>
      </w:r>
    </w:p>
    <w:p>
      <w:pPr>
        <w:ind w:firstLine="560"/>
        <w:rPr>
          <w:rFonts w:ascii="宋体" w:hAnsi="宋体"/>
          <w:szCs w:val="28"/>
        </w:rPr>
      </w:pPr>
      <w:r>
        <w:rPr>
          <w:rFonts w:ascii="宋体" w:hAnsi="宋体"/>
          <w:szCs w:val="28"/>
        </w:rPr>
        <w:t>据历史记载，漕河最大流量267m</w:t>
      </w:r>
      <w:r>
        <w:rPr>
          <w:rFonts w:ascii="宋体" w:hAnsi="宋体"/>
          <w:szCs w:val="28"/>
          <w:vertAlign w:val="superscript"/>
        </w:rPr>
        <w:t>3</w:t>
      </w:r>
      <w:r>
        <w:rPr>
          <w:rFonts w:ascii="宋体" w:hAnsi="宋体"/>
          <w:szCs w:val="28"/>
        </w:rPr>
        <w:t>/s(1952年7月21日至1953年8月漕河水文站)，最小流量在5月份，大约十天河面断流，平时一般流量为15-40m</w:t>
      </w:r>
      <w:r>
        <w:rPr>
          <w:rFonts w:ascii="宋体" w:hAnsi="宋体"/>
          <w:szCs w:val="28"/>
          <w:vertAlign w:val="superscript"/>
        </w:rPr>
        <w:t>3</w:t>
      </w:r>
      <w:r>
        <w:rPr>
          <w:rFonts w:ascii="宋体" w:hAnsi="宋体"/>
          <w:szCs w:val="28"/>
        </w:rPr>
        <w:t>/s。1964年前常有水，以后常干枯，1977-1988年除汛期有流水外，其它季节基本断流。1989年10月17日测流资料，漕河至王各庄段流量1.07m</w:t>
      </w:r>
      <w:r>
        <w:rPr>
          <w:rFonts w:ascii="宋体" w:hAnsi="宋体"/>
          <w:szCs w:val="28"/>
          <w:vertAlign w:val="superscript"/>
        </w:rPr>
        <w:t>3</w:t>
      </w:r>
      <w:r>
        <w:rPr>
          <w:rFonts w:ascii="宋体" w:hAnsi="宋体"/>
          <w:szCs w:val="28"/>
        </w:rPr>
        <w:t>/s，漕河镇桥下流量0.6m</w:t>
      </w:r>
      <w:r>
        <w:rPr>
          <w:rFonts w:ascii="宋体" w:hAnsi="宋体"/>
          <w:szCs w:val="28"/>
          <w:vertAlign w:val="superscript"/>
        </w:rPr>
        <w:t>3</w:t>
      </w:r>
      <w:r>
        <w:rPr>
          <w:rFonts w:ascii="宋体" w:hAnsi="宋体"/>
          <w:szCs w:val="28"/>
        </w:rPr>
        <w:t>/s，河水渗漏损失量0.47m</w:t>
      </w:r>
      <w:r>
        <w:rPr>
          <w:rFonts w:ascii="宋体" w:hAnsi="宋体"/>
          <w:szCs w:val="28"/>
          <w:vertAlign w:val="superscript"/>
        </w:rPr>
        <w:t>3</w:t>
      </w:r>
      <w:r>
        <w:rPr>
          <w:rFonts w:ascii="宋体" w:hAnsi="宋体"/>
          <w:szCs w:val="28"/>
        </w:rPr>
        <w:t>/s。漕河现为排洪主要通道，平时为干河。</w:t>
      </w:r>
    </w:p>
    <w:p>
      <w:pPr>
        <w:ind w:firstLine="560"/>
        <w:rPr>
          <w:rFonts w:ascii="宋体" w:hAnsi="宋体"/>
          <w:szCs w:val="28"/>
        </w:rPr>
      </w:pPr>
      <w:r>
        <w:rPr>
          <w:rFonts w:hint="eastAsia" w:ascii="宋体" w:hAnsi="宋体"/>
          <w:szCs w:val="28"/>
        </w:rPr>
        <w:t>（2）</w:t>
      </w:r>
      <w:r>
        <w:rPr>
          <w:rFonts w:ascii="宋体" w:hAnsi="宋体"/>
          <w:szCs w:val="28"/>
        </w:rPr>
        <w:t>一亩泉河</w:t>
      </w:r>
    </w:p>
    <w:p>
      <w:pPr>
        <w:ind w:firstLine="560"/>
        <w:rPr>
          <w:rFonts w:ascii="宋体" w:hAnsi="宋体"/>
          <w:szCs w:val="28"/>
        </w:rPr>
      </w:pPr>
      <w:r>
        <w:rPr>
          <w:rFonts w:ascii="宋体" w:hAnsi="宋体"/>
          <w:szCs w:val="28"/>
        </w:rPr>
        <w:t>河源出于一亩泉村一带，由数十泉涌汇集而成，全长45km，河床宽约2-20m，1956年11月黑风泉下约100m流量0.28m</w:t>
      </w:r>
      <w:r>
        <w:rPr>
          <w:rFonts w:ascii="宋体" w:hAnsi="宋体"/>
          <w:szCs w:val="28"/>
          <w:vertAlign w:val="superscript"/>
        </w:rPr>
        <w:t>3</w:t>
      </w:r>
      <w:r>
        <w:rPr>
          <w:rFonts w:ascii="宋体" w:hAnsi="宋体"/>
          <w:szCs w:val="28"/>
        </w:rPr>
        <w:t>/s，一亩泉下200m流量0.87m</w:t>
      </w:r>
      <w:r>
        <w:rPr>
          <w:rFonts w:ascii="宋体" w:hAnsi="宋体"/>
          <w:szCs w:val="28"/>
          <w:vertAlign w:val="superscript"/>
        </w:rPr>
        <w:t>3</w:t>
      </w:r>
      <w:r>
        <w:rPr>
          <w:rFonts w:ascii="宋体" w:hAnsi="宋体"/>
          <w:szCs w:val="28"/>
        </w:rPr>
        <w:t>/s，1957年4月30日月亮桥下流量0.28m</w:t>
      </w:r>
      <w:r>
        <w:rPr>
          <w:rFonts w:ascii="宋体" w:hAnsi="宋体"/>
          <w:szCs w:val="28"/>
          <w:vertAlign w:val="superscript"/>
        </w:rPr>
        <w:t>3</w:t>
      </w:r>
      <w:r>
        <w:rPr>
          <w:rFonts w:ascii="宋体" w:hAnsi="宋体"/>
          <w:szCs w:val="28"/>
        </w:rPr>
        <w:t>/s，1965年后断流。</w:t>
      </w:r>
    </w:p>
    <w:p>
      <w:pPr>
        <w:ind w:firstLine="560"/>
        <w:rPr>
          <w:rFonts w:ascii="宋体" w:hAnsi="宋体"/>
          <w:szCs w:val="28"/>
        </w:rPr>
      </w:pPr>
      <w:r>
        <w:rPr>
          <w:rFonts w:ascii="宋体" w:hAnsi="宋体"/>
          <w:szCs w:val="28"/>
        </w:rPr>
        <w:t>七十年代后成为保定市行洪、排沥、排放城市污水处理厂的渠道。现由上游水库人工排水补给，上游一亩泉村至孙家塘段6km河道做了硬化处理，中下游为天然河道，在大车辛庄村东桥下流量1.67m</w:t>
      </w:r>
      <w:r>
        <w:rPr>
          <w:rFonts w:ascii="宋体" w:hAnsi="宋体"/>
          <w:szCs w:val="28"/>
          <w:vertAlign w:val="superscript"/>
        </w:rPr>
        <w:t>3</w:t>
      </w:r>
      <w:r>
        <w:rPr>
          <w:rFonts w:ascii="宋体" w:hAnsi="宋体"/>
          <w:szCs w:val="28"/>
        </w:rPr>
        <w:t>/s，蛮子营村西桥下流量1.702m</w:t>
      </w:r>
      <w:r>
        <w:rPr>
          <w:rFonts w:ascii="宋体" w:hAnsi="宋体"/>
          <w:szCs w:val="28"/>
          <w:vertAlign w:val="superscript"/>
        </w:rPr>
        <w:t>3</w:t>
      </w:r>
      <w:r>
        <w:rPr>
          <w:rFonts w:ascii="宋体" w:hAnsi="宋体"/>
          <w:szCs w:val="28"/>
        </w:rPr>
        <w:t>/s。</w:t>
      </w:r>
    </w:p>
    <w:p>
      <w:pPr>
        <w:ind w:firstLine="560"/>
        <w:rPr>
          <w:rFonts w:ascii="宋体" w:hAnsi="宋体"/>
          <w:szCs w:val="28"/>
        </w:rPr>
      </w:pPr>
      <w:r>
        <w:rPr>
          <w:rFonts w:hint="eastAsia" w:ascii="宋体" w:hAnsi="宋体"/>
          <w:szCs w:val="28"/>
        </w:rPr>
        <w:t>（3）</w:t>
      </w:r>
      <w:r>
        <w:rPr>
          <w:rFonts w:ascii="宋体" w:hAnsi="宋体"/>
          <w:szCs w:val="28"/>
        </w:rPr>
        <w:t>界河</w:t>
      </w:r>
    </w:p>
    <w:p>
      <w:pPr>
        <w:ind w:firstLine="560"/>
        <w:rPr>
          <w:rFonts w:ascii="宋体" w:hAnsi="宋体"/>
          <w:szCs w:val="28"/>
        </w:rPr>
      </w:pPr>
      <w:r>
        <w:rPr>
          <w:rFonts w:ascii="宋体" w:hAnsi="宋体"/>
          <w:szCs w:val="28"/>
        </w:rPr>
        <w:t>流域面积388.4km</w:t>
      </w:r>
      <w:r>
        <w:rPr>
          <w:rFonts w:ascii="宋体" w:hAnsi="宋体"/>
          <w:szCs w:val="28"/>
          <w:vertAlign w:val="superscript"/>
        </w:rPr>
        <w:t>2</w:t>
      </w:r>
      <w:r>
        <w:rPr>
          <w:rFonts w:hint="eastAsia" w:ascii="宋体" w:hAnsi="宋体"/>
          <w:szCs w:val="28"/>
        </w:rPr>
        <w:t>，</w:t>
      </w:r>
      <w:r>
        <w:rPr>
          <w:rFonts w:ascii="宋体" w:hAnsi="宋体"/>
          <w:szCs w:val="28"/>
        </w:rPr>
        <w:t>位于水源地西南部。上游分为二支：主支源于易县西南山区下白银洼、八庙台、李家台一带，向南西流经涞源县，随之南东流，过顺平县石家庄村西进入总库容1178万m</w:t>
      </w:r>
      <w:r>
        <w:rPr>
          <w:rFonts w:ascii="宋体" w:hAnsi="宋体"/>
          <w:szCs w:val="28"/>
          <w:vertAlign w:val="superscript"/>
        </w:rPr>
        <w:t>3</w:t>
      </w:r>
      <w:r>
        <w:rPr>
          <w:rFonts w:ascii="宋体" w:hAnsi="宋体"/>
          <w:szCs w:val="28"/>
        </w:rPr>
        <w:t>的龙潭水库。向下婉蜓15km而下，在车厂村西入满城境内，至刘家台汇另一支源于黄龙寺沟、慈家台沟和龙居沟的来水成一水。主道过境长43km，河滩最宽处400m，平均纵坡降1/150，域内汇流面积186km</w:t>
      </w:r>
      <w:r>
        <w:rPr>
          <w:rFonts w:ascii="宋体" w:hAnsi="宋体"/>
          <w:szCs w:val="28"/>
          <w:vertAlign w:val="superscript"/>
        </w:rPr>
        <w:t>2</w:t>
      </w:r>
      <w:r>
        <w:rPr>
          <w:rFonts w:ascii="宋体" w:hAnsi="宋体"/>
          <w:szCs w:val="28"/>
        </w:rPr>
        <w:t>。流经刘家台乡、坨南乡、石井乡和满城镇，沿河共分布20个村庄，至石井乡章村入顺平县境。</w:t>
      </w:r>
    </w:p>
    <w:p>
      <w:pPr>
        <w:ind w:firstLine="560"/>
        <w:rPr>
          <w:rFonts w:ascii="宋体" w:hAnsi="宋体"/>
          <w:szCs w:val="28"/>
        </w:rPr>
      </w:pPr>
      <w:r>
        <w:rPr>
          <w:rFonts w:ascii="宋体" w:hAnsi="宋体"/>
          <w:szCs w:val="28"/>
        </w:rPr>
        <w:t>据已有资料，界河流经岭西至土门段时部分河水渗入地下，在石井、永安庄一段，河水基本上全部渗入地下。上世纪六十年代以来，除1963年、1988年、1989年三年特大洪水年有水外，界河河水均未流出山口，界河出山后汇入蒲阳河，向东南流入清苑县境内。</w:t>
      </w:r>
    </w:p>
    <w:p>
      <w:pPr>
        <w:ind w:firstLine="560"/>
        <w:rPr>
          <w:rFonts w:ascii="宋体" w:hAnsi="宋体"/>
          <w:szCs w:val="28"/>
        </w:rPr>
      </w:pPr>
      <w:r>
        <w:rPr>
          <w:rFonts w:hint="eastAsia"/>
        </w:rPr>
        <w:t>保定市河流水系分布见图2-7。</w:t>
      </w:r>
    </w:p>
    <w:p>
      <w:pPr>
        <w:ind w:firstLine="0" w:firstLineChars="0"/>
        <w:jc w:val="center"/>
        <w:rPr>
          <w:rFonts w:ascii="宋体" w:hAnsi="宋体"/>
          <w:szCs w:val="28"/>
        </w:rPr>
      </w:pPr>
      <w:r>
        <w:rPr>
          <w:rFonts w:hint="eastAsia" w:ascii="宋体" w:hAnsi="宋体"/>
          <w:szCs w:val="28"/>
        </w:rPr>
        <w:drawing>
          <wp:inline distT="0" distB="0" distL="114300" distR="114300">
            <wp:extent cx="5228590" cy="5260975"/>
            <wp:effectExtent l="0" t="0" r="13970" b="12065"/>
            <wp:docPr id="11" name="图片 11" descr="5249a048234009e171646cd9a3dd8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5249a048234009e171646cd9a3dd8b9"/>
                    <pic:cNvPicPr>
                      <a:picLocks noChangeAspect="1"/>
                    </pic:cNvPicPr>
                  </pic:nvPicPr>
                  <pic:blipFill>
                    <a:blip r:embed="rId28"/>
                    <a:srcRect l="2350" t="1771" r="1940" b="1928"/>
                    <a:stretch>
                      <a:fillRect/>
                    </a:stretch>
                  </pic:blipFill>
                  <pic:spPr>
                    <a:xfrm>
                      <a:off x="0" y="0"/>
                      <a:ext cx="5228590" cy="5260975"/>
                    </a:xfrm>
                    <a:prstGeom prst="rect">
                      <a:avLst/>
                    </a:prstGeom>
                  </pic:spPr>
                </pic:pic>
              </a:graphicData>
            </a:graphic>
          </wp:inline>
        </w:drawing>
      </w:r>
    </w:p>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图2-7 工作区所在市域范围河流水系分布图</w:t>
      </w:r>
    </w:p>
    <w:p>
      <w:pPr>
        <w:pStyle w:val="6"/>
        <w:spacing w:before="163" w:after="163"/>
        <w:ind w:firstLine="562"/>
      </w:pPr>
      <w:r>
        <w:rPr>
          <w:rFonts w:hint="eastAsia"/>
        </w:rPr>
        <w:t>2.1.5水文地质条件</w:t>
      </w:r>
    </w:p>
    <w:p>
      <w:pPr>
        <w:pStyle w:val="8"/>
        <w:ind w:firstLine="562"/>
      </w:pPr>
      <w:r>
        <w:rPr>
          <w:rFonts w:hint="eastAsia"/>
        </w:rPr>
        <w:t>2.1.5.1 地下水赋存条件</w:t>
      </w:r>
    </w:p>
    <w:p>
      <w:pPr>
        <w:ind w:firstLine="560"/>
        <w:jc w:val="left"/>
        <w:rPr>
          <w:rFonts w:cs="Times New Roman"/>
          <w:szCs w:val="28"/>
        </w:rPr>
      </w:pPr>
      <w:r>
        <w:rPr>
          <w:rFonts w:cs="Times New Roman"/>
          <w:szCs w:val="28"/>
        </w:rPr>
        <w:t>一亩泉水源地地下水主要存于由第四纪成的松散孔隙中，一亩泉水源地保护区和补给区根据地貌成因类型及水文地质条件，区域上分为三个水文地质区：</w:t>
      </w:r>
    </w:p>
    <w:p>
      <w:pPr>
        <w:ind w:firstLine="560"/>
        <w:jc w:val="left"/>
        <w:rPr>
          <w:rFonts w:cs="Times New Roman"/>
          <w:szCs w:val="28"/>
        </w:rPr>
      </w:pPr>
      <w:r>
        <w:rPr>
          <w:rFonts w:cs="Times New Roman"/>
          <w:szCs w:val="28"/>
        </w:rPr>
        <w:t>（1）低山丘陵岩溶裂隙—孔隙水区</w:t>
      </w:r>
    </w:p>
    <w:p>
      <w:pPr>
        <w:ind w:firstLine="560"/>
        <w:jc w:val="left"/>
        <w:rPr>
          <w:rFonts w:cs="Times New Roman"/>
          <w:szCs w:val="28"/>
        </w:rPr>
      </w:pPr>
      <w:r>
        <w:rPr>
          <w:rFonts w:cs="Times New Roman"/>
          <w:szCs w:val="28"/>
        </w:rPr>
        <w:t>①岩溶裂隙水富水不均匀亚区：</w:t>
      </w:r>
    </w:p>
    <w:p>
      <w:pPr>
        <w:ind w:firstLine="560"/>
        <w:jc w:val="left"/>
        <w:rPr>
          <w:rFonts w:cs="Times New Roman"/>
          <w:szCs w:val="28"/>
        </w:rPr>
      </w:pPr>
      <w:r>
        <w:rPr>
          <w:rFonts w:cs="Times New Roman"/>
          <w:szCs w:val="28"/>
        </w:rPr>
        <w:t>分布于调查区西北部山区的岩溶裂隙及喀斯特溶洞中，基岩出露，岩层风化作用形成了一些裂隙，造成了含水条件，但补给多为大气降水，且裂隙不甚发育，水量不丰富，分布不均匀。在基若出露10m以下则为喀斯特岩溶水为主，以往资料显示单位涌水量2.8m</w:t>
      </w:r>
      <w:r>
        <w:rPr>
          <w:rFonts w:cs="Times New Roman"/>
          <w:szCs w:val="28"/>
          <w:vertAlign w:val="superscript"/>
        </w:rPr>
        <w:t>3</w:t>
      </w:r>
      <w:r>
        <w:rPr>
          <w:rFonts w:cs="Times New Roman"/>
          <w:szCs w:val="28"/>
        </w:rPr>
        <w:t>/h・m。</w:t>
      </w:r>
    </w:p>
    <w:p>
      <w:pPr>
        <w:ind w:firstLine="560"/>
        <w:jc w:val="left"/>
        <w:rPr>
          <w:rFonts w:cs="Times New Roman"/>
          <w:szCs w:val="28"/>
        </w:rPr>
      </w:pPr>
      <w:r>
        <w:rPr>
          <w:rFonts w:cs="Times New Roman"/>
          <w:szCs w:val="28"/>
        </w:rPr>
        <w:t>②山间河谷孔隙水富—弱富水亚区：</w:t>
      </w:r>
    </w:p>
    <w:p>
      <w:pPr>
        <w:ind w:firstLine="560"/>
        <w:rPr>
          <w:rFonts w:cs="Times New Roman"/>
          <w:szCs w:val="28"/>
        </w:rPr>
      </w:pPr>
      <w:r>
        <w:rPr>
          <w:rFonts w:cs="Times New Roman"/>
          <w:szCs w:val="28"/>
        </w:rPr>
        <w:t>分布于调查区西北部，界河出山口河谷地带。含水层为第四系全新统，上更新统冲洪积砂砾卵石层与灰岩白云岩裂隙水两种组成。孔隙水埋深42-50m左右，水位标高约10m，含水层累积厚度40-70m，含水层组成物为碎石、砂等。河谷地带富水性好，渗透性能强，地下水为潜水类型。</w:t>
      </w:r>
    </w:p>
    <w:p>
      <w:pPr>
        <w:ind w:firstLine="560"/>
        <w:jc w:val="left"/>
        <w:rPr>
          <w:rFonts w:cs="Times New Roman"/>
          <w:szCs w:val="28"/>
        </w:rPr>
      </w:pPr>
      <w:r>
        <w:rPr>
          <w:rFonts w:cs="Times New Roman"/>
          <w:szCs w:val="28"/>
        </w:rPr>
        <w:t>（2）冲洪积扇孔隙水区</w:t>
      </w:r>
    </w:p>
    <w:p>
      <w:pPr>
        <w:ind w:firstLine="560"/>
        <w:jc w:val="left"/>
        <w:rPr>
          <w:rFonts w:cs="Times New Roman"/>
          <w:szCs w:val="28"/>
        </w:rPr>
      </w:pPr>
      <w:r>
        <w:rPr>
          <w:rFonts w:cs="Times New Roman"/>
          <w:szCs w:val="28"/>
        </w:rPr>
        <w:t>漕河、界河冲洪积扇分布于山前地带，除扇顶部抱阳山一带及满城镇附近为潜水区外，大部分地区兼有承压水性质(潜水—承压水区)，含水层岩性以粗砂含卵砾石为主。由北向南分为漕河、界河、蒲阳河三个高水亚区。漕河扇和界河扇水力联系密切，含水层富水性强。冲洪积扇主体部位富水性好，单位涌水量大于100m</w:t>
      </w:r>
      <w:r>
        <w:rPr>
          <w:rFonts w:cs="Times New Roman"/>
          <w:szCs w:val="28"/>
          <w:vertAlign w:val="superscript"/>
        </w:rPr>
        <w:t>3</w:t>
      </w:r>
      <w:r>
        <w:rPr>
          <w:rFonts w:cs="Times New Roman"/>
          <w:szCs w:val="28"/>
        </w:rPr>
        <w:t>/h・m，分布面积约55.47km</w:t>
      </w:r>
      <w:r>
        <w:rPr>
          <w:rFonts w:cs="Times New Roman"/>
          <w:szCs w:val="28"/>
          <w:vertAlign w:val="superscript"/>
        </w:rPr>
        <w:t>2</w:t>
      </w:r>
      <w:r>
        <w:rPr>
          <w:rFonts w:cs="Times New Roman"/>
          <w:szCs w:val="28"/>
        </w:rPr>
        <w:t>。沿冲洪积扇扇轴向两侧，含水层高水性逐渐减弱。洪积扇的前缘、西部近扇间地带及北马一一南马和南陵山等地，基底局部起地带含水层富水性较差，单位涌水量20-50m</w:t>
      </w:r>
      <w:r>
        <w:rPr>
          <w:rFonts w:cs="Times New Roman"/>
          <w:szCs w:val="28"/>
          <w:vertAlign w:val="superscript"/>
        </w:rPr>
        <w:t>3</w:t>
      </w:r>
      <w:r>
        <w:rPr>
          <w:rFonts w:cs="Times New Roman"/>
          <w:szCs w:val="28"/>
        </w:rPr>
        <w:t>/h・m。</w:t>
      </w:r>
    </w:p>
    <w:p>
      <w:pPr>
        <w:ind w:firstLine="560"/>
        <w:jc w:val="left"/>
        <w:rPr>
          <w:rFonts w:cs="Times New Roman"/>
          <w:szCs w:val="28"/>
        </w:rPr>
      </w:pPr>
      <w:r>
        <w:rPr>
          <w:rFonts w:cs="Times New Roman"/>
          <w:szCs w:val="28"/>
        </w:rPr>
        <w:t>①漕河、界河扇强富水亚区</w:t>
      </w:r>
    </w:p>
    <w:p>
      <w:pPr>
        <w:ind w:firstLine="560"/>
        <w:jc w:val="left"/>
        <w:rPr>
          <w:rFonts w:cs="Times New Roman"/>
          <w:szCs w:val="28"/>
        </w:rPr>
      </w:pPr>
      <w:r>
        <w:rPr>
          <w:rFonts w:cs="Times New Roman"/>
          <w:szCs w:val="28"/>
        </w:rPr>
        <w:t>由上至下分为四个含水岩组：</w:t>
      </w:r>
    </w:p>
    <w:p>
      <w:pPr>
        <w:ind w:firstLine="560"/>
        <w:jc w:val="left"/>
        <w:rPr>
          <w:rFonts w:cs="Times New Roman"/>
          <w:szCs w:val="28"/>
        </w:rPr>
      </w:pPr>
      <w:r>
        <w:rPr>
          <w:rFonts w:cs="Times New Roman"/>
          <w:szCs w:val="28"/>
        </w:rPr>
        <w:t>a.第一含水岩组(潜水含水层)</w:t>
      </w:r>
    </w:p>
    <w:p>
      <w:pPr>
        <w:ind w:firstLine="560"/>
        <w:jc w:val="left"/>
        <w:rPr>
          <w:rFonts w:cs="Times New Roman"/>
          <w:szCs w:val="28"/>
        </w:rPr>
      </w:pPr>
      <w:r>
        <w:rPr>
          <w:rFonts w:cs="Times New Roman"/>
          <w:szCs w:val="28"/>
        </w:rPr>
        <w:t>有0-1个含水层，厚5-10m，透镜体状分布，底板埋深小于26m，含水层岩性为中砂、细砂，隔水层为粘性土。经多年的开采，该含水层地下水已被疏干。</w:t>
      </w:r>
    </w:p>
    <w:p>
      <w:pPr>
        <w:ind w:firstLine="560"/>
        <w:jc w:val="left"/>
        <w:rPr>
          <w:rFonts w:cs="Times New Roman"/>
          <w:szCs w:val="28"/>
        </w:rPr>
      </w:pPr>
      <w:r>
        <w:rPr>
          <w:rFonts w:cs="Times New Roman"/>
          <w:szCs w:val="28"/>
        </w:rPr>
        <w:t>b.第二含水岩组(浅层承压含水层)</w:t>
      </w:r>
    </w:p>
    <w:p>
      <w:pPr>
        <w:ind w:firstLine="560"/>
        <w:jc w:val="left"/>
        <w:rPr>
          <w:rFonts w:cs="Times New Roman"/>
          <w:szCs w:val="28"/>
        </w:rPr>
      </w:pPr>
      <w:r>
        <w:rPr>
          <w:rFonts w:cs="Times New Roman"/>
          <w:szCs w:val="28"/>
        </w:rPr>
        <w:t>埋深50--80m左右，含水层一般5-7层，总厚15-35m，组成岩性主要为粗砂含砾石，局部见薄层状中砂、砾石、卵石层。界河冲洪积扇轴部为强富水，单位涌水量大于100m</w:t>
      </w:r>
      <w:r>
        <w:rPr>
          <w:rFonts w:cs="Times New Roman"/>
          <w:szCs w:val="28"/>
          <w:vertAlign w:val="superscript"/>
        </w:rPr>
        <w:t>3</w:t>
      </w:r>
      <w:r>
        <w:rPr>
          <w:rFonts w:cs="Times New Roman"/>
          <w:szCs w:val="28"/>
        </w:rPr>
        <w:t>/h・m，前缘区及扇间地带富水性较差，单位涌水量20-50m</w:t>
      </w:r>
      <w:r>
        <w:rPr>
          <w:rFonts w:cs="Times New Roman"/>
          <w:szCs w:val="28"/>
          <w:vertAlign w:val="superscript"/>
        </w:rPr>
        <w:t>3</w:t>
      </w:r>
      <w:r>
        <w:rPr>
          <w:rFonts w:cs="Times New Roman"/>
          <w:szCs w:val="28"/>
        </w:rPr>
        <w:t>/h・m。</w:t>
      </w:r>
    </w:p>
    <w:p>
      <w:pPr>
        <w:ind w:firstLine="560"/>
        <w:jc w:val="left"/>
        <w:rPr>
          <w:rFonts w:cs="Times New Roman"/>
          <w:szCs w:val="28"/>
        </w:rPr>
      </w:pPr>
      <w:r>
        <w:rPr>
          <w:rFonts w:cs="Times New Roman"/>
          <w:szCs w:val="28"/>
        </w:rPr>
        <w:t>c.第三含水岩组</w:t>
      </w:r>
    </w:p>
    <w:p>
      <w:pPr>
        <w:ind w:firstLine="560"/>
        <w:jc w:val="left"/>
        <w:rPr>
          <w:rFonts w:cs="Times New Roman"/>
          <w:szCs w:val="28"/>
        </w:rPr>
      </w:pPr>
      <w:r>
        <w:rPr>
          <w:rFonts w:cs="Times New Roman"/>
          <w:szCs w:val="28"/>
        </w:rPr>
        <w:t>冲洪积扇顶部含水层基本缺失，在中下部有4-7个承压含水层，单层厚度2-10m，总厚度20-30m，底板埋深150-200m，含水层岩性以压密实的中砂、细砂为主，含水层顶底板均为粘性土，含水层单位涌水量5-15m</w:t>
      </w:r>
      <w:r>
        <w:rPr>
          <w:rFonts w:cs="Times New Roman"/>
          <w:szCs w:val="28"/>
          <w:vertAlign w:val="superscript"/>
        </w:rPr>
        <w:t>3</w:t>
      </w:r>
      <w:r>
        <w:rPr>
          <w:rFonts w:cs="Times New Roman"/>
          <w:szCs w:val="28"/>
        </w:rPr>
        <w:t>/h・m。渗透系数5-10m/d，隔水顶板厚5-15m。</w:t>
      </w:r>
    </w:p>
    <w:p>
      <w:pPr>
        <w:ind w:firstLine="560"/>
        <w:jc w:val="left"/>
        <w:rPr>
          <w:rFonts w:cs="Times New Roman"/>
          <w:szCs w:val="28"/>
        </w:rPr>
      </w:pPr>
      <w:r>
        <w:rPr>
          <w:rFonts w:cs="Times New Roman"/>
          <w:szCs w:val="28"/>
        </w:rPr>
        <w:t>d.第四含水岩组</w:t>
      </w:r>
    </w:p>
    <w:p>
      <w:pPr>
        <w:ind w:firstLine="560"/>
        <w:jc w:val="left"/>
        <w:rPr>
          <w:rFonts w:cs="Times New Roman"/>
          <w:szCs w:val="28"/>
        </w:rPr>
      </w:pPr>
      <w:r>
        <w:rPr>
          <w:rFonts w:cs="Times New Roman"/>
          <w:szCs w:val="28"/>
        </w:rPr>
        <w:t>冲洪积扇的中下部有7-10个承压含水层，总厚度35-40m底板埋深340-380m，含水层岩性为固结的粗砂、中秒、细砂，富水性差，单位涌水量小于15m</w:t>
      </w:r>
      <w:r>
        <w:rPr>
          <w:rFonts w:cs="Times New Roman"/>
          <w:szCs w:val="28"/>
          <w:vertAlign w:val="superscript"/>
        </w:rPr>
        <w:t>3</w:t>
      </w:r>
      <w:r>
        <w:rPr>
          <w:rFonts w:cs="Times New Roman"/>
          <w:szCs w:val="28"/>
        </w:rPr>
        <w:t>/h・m，隔水顶板厚10-20m。</w:t>
      </w:r>
    </w:p>
    <w:p>
      <w:pPr>
        <w:ind w:firstLine="560"/>
        <w:jc w:val="left"/>
        <w:rPr>
          <w:rFonts w:cs="Times New Roman"/>
          <w:szCs w:val="28"/>
        </w:rPr>
      </w:pPr>
      <w:r>
        <w:rPr>
          <w:rFonts w:cs="Times New Roman"/>
          <w:szCs w:val="28"/>
        </w:rPr>
        <w:t>②蒲阳河扇中等富水亚区:</w:t>
      </w:r>
    </w:p>
    <w:p>
      <w:pPr>
        <w:ind w:firstLine="560"/>
        <w:jc w:val="left"/>
        <w:rPr>
          <w:rFonts w:cs="Times New Roman"/>
          <w:szCs w:val="28"/>
        </w:rPr>
      </w:pPr>
      <w:r>
        <w:rPr>
          <w:rFonts w:cs="Times New Roman"/>
          <w:szCs w:val="28"/>
        </w:rPr>
        <w:t>分布于调查区西部，山区南部，在9-100m共有含水层6层，其水力联系不明，总厚度约28m，但一般只见2-3层，且向南渐深。有些则尖灭或呈透镜状，含水层组成物大部分为砾石或粗秒。单位涌水量均小于20m</w:t>
      </w:r>
      <w:r>
        <w:rPr>
          <w:rFonts w:cs="Times New Roman"/>
          <w:szCs w:val="28"/>
          <w:vertAlign w:val="superscript"/>
        </w:rPr>
        <w:t>3</w:t>
      </w:r>
      <w:r>
        <w:rPr>
          <w:rFonts w:cs="Times New Roman"/>
          <w:szCs w:val="28"/>
        </w:rPr>
        <w:t>/h・m，自西北至东南单位涌水量步增大。</w:t>
      </w:r>
    </w:p>
    <w:p>
      <w:pPr>
        <w:ind w:firstLine="560"/>
        <w:jc w:val="left"/>
        <w:rPr>
          <w:rFonts w:cs="Times New Roman"/>
          <w:szCs w:val="28"/>
        </w:rPr>
      </w:pPr>
      <w:r>
        <w:rPr>
          <w:rFonts w:cs="Times New Roman"/>
          <w:szCs w:val="28"/>
        </w:rPr>
        <w:t>（3）冲积平原孔隙水区</w:t>
      </w:r>
    </w:p>
    <w:p>
      <w:pPr>
        <w:ind w:firstLine="560"/>
        <w:jc w:val="left"/>
        <w:rPr>
          <w:rFonts w:cs="Times New Roman"/>
          <w:szCs w:val="28"/>
        </w:rPr>
      </w:pPr>
      <w:r>
        <w:rPr>
          <w:rFonts w:cs="Times New Roman"/>
          <w:szCs w:val="28"/>
        </w:rPr>
        <w:t>分布于漕河、界河冲洪积东部，均为承压水区，由北向南分为三个富水亚区：漕河冲积平原弱富水亚区、界河冲积平原中等富水亚区、蒲阳河唐河冲积平原富水亚区，单位涌水量一般3-20m</w:t>
      </w:r>
      <w:r>
        <w:rPr>
          <w:rFonts w:cs="Times New Roman"/>
          <w:szCs w:val="28"/>
          <w:vertAlign w:val="superscript"/>
        </w:rPr>
        <w:t>3</w:t>
      </w:r>
      <w:r>
        <w:rPr>
          <w:rFonts w:cs="Times New Roman"/>
          <w:szCs w:val="28"/>
        </w:rPr>
        <w:t>/h・m，南部界河、蒲阳河唐河冲积平原富水性相对较好，辛阳村附近单位涌水量可达30m</w:t>
      </w:r>
      <w:r>
        <w:rPr>
          <w:rFonts w:cs="Times New Roman"/>
          <w:szCs w:val="28"/>
          <w:vertAlign w:val="superscript"/>
        </w:rPr>
        <w:t>3</w:t>
      </w:r>
      <w:r>
        <w:rPr>
          <w:rFonts w:cs="Times New Roman"/>
          <w:szCs w:val="28"/>
        </w:rPr>
        <w:t>/h・m。该区含水层层次多，以中细砂为主，就埋条件而言，可分为三个含水岩组。</w:t>
      </w:r>
    </w:p>
    <w:p>
      <w:pPr>
        <w:ind w:firstLine="560"/>
        <w:jc w:val="left"/>
        <w:rPr>
          <w:rFonts w:cs="Times New Roman"/>
          <w:szCs w:val="28"/>
        </w:rPr>
      </w:pPr>
      <w:r>
        <w:rPr>
          <w:rFonts w:cs="Times New Roman"/>
          <w:szCs w:val="28"/>
        </w:rPr>
        <w:t>①第一含水层(潜水含水层):</w:t>
      </w:r>
    </w:p>
    <w:p>
      <w:pPr>
        <w:ind w:firstLine="560"/>
        <w:jc w:val="left"/>
        <w:rPr>
          <w:rFonts w:cs="Times New Roman"/>
          <w:szCs w:val="28"/>
        </w:rPr>
      </w:pPr>
      <w:r>
        <w:rPr>
          <w:rFonts w:cs="Times New Roman"/>
          <w:szCs w:val="28"/>
        </w:rPr>
        <w:t>呈透镜状分布，主要分布于满城区小许城村向南延伸地段，含水层由砾石、各种砂类组成，埋深10-50如，含水层厚5-10m现已疏干。</w:t>
      </w:r>
    </w:p>
    <w:p>
      <w:pPr>
        <w:ind w:firstLine="560"/>
        <w:jc w:val="left"/>
        <w:rPr>
          <w:rFonts w:cs="Times New Roman"/>
          <w:szCs w:val="28"/>
        </w:rPr>
      </w:pPr>
      <w:r>
        <w:rPr>
          <w:rFonts w:cs="Times New Roman"/>
          <w:szCs w:val="28"/>
        </w:rPr>
        <w:t>②第二含水层(浅层承压含水层)</w:t>
      </w:r>
    </w:p>
    <w:p>
      <w:pPr>
        <w:ind w:firstLine="560"/>
        <w:jc w:val="left"/>
        <w:rPr>
          <w:rFonts w:cs="Times New Roman"/>
          <w:szCs w:val="28"/>
        </w:rPr>
      </w:pPr>
      <w:r>
        <w:rPr>
          <w:rFonts w:cs="Times New Roman"/>
          <w:szCs w:val="28"/>
        </w:rPr>
        <w:t>分布广泛，由漕河出山口向南、东、东南方向延展变，埋深50-80m，北部较浅，南部较深，厚约10-20m以砂类为主，局部含砾石，含水层有时为钙质胶结成不连续层状。含水层上下底板均为粘性土。单位涌水量3-15m</w:t>
      </w:r>
      <w:r>
        <w:rPr>
          <w:rFonts w:cs="Times New Roman"/>
          <w:szCs w:val="28"/>
          <w:vertAlign w:val="superscript"/>
        </w:rPr>
        <w:t>3</w:t>
      </w:r>
      <w:r>
        <w:rPr>
          <w:rFonts w:cs="Times New Roman"/>
          <w:szCs w:val="28"/>
        </w:rPr>
        <w:t>/h・m。</w:t>
      </w:r>
    </w:p>
    <w:p>
      <w:pPr>
        <w:ind w:firstLine="560"/>
        <w:jc w:val="left"/>
        <w:rPr>
          <w:rFonts w:cs="Times New Roman"/>
          <w:szCs w:val="28"/>
        </w:rPr>
      </w:pPr>
      <w:r>
        <w:rPr>
          <w:rFonts w:cs="Times New Roman"/>
          <w:szCs w:val="28"/>
        </w:rPr>
        <w:t>③第三含水层(深层承压含水层):埋深110-200m，厚度5-10m。含水层由中、细砂组成，并含少量石，一般为两层。分布由东南向西北渐薄。水量较小，单位涌水量为0.48m</w:t>
      </w:r>
      <w:r>
        <w:rPr>
          <w:rFonts w:cs="Times New Roman"/>
          <w:szCs w:val="28"/>
          <w:vertAlign w:val="superscript"/>
        </w:rPr>
        <w:t>3</w:t>
      </w:r>
      <w:r>
        <w:rPr>
          <w:rFonts w:cs="Times New Roman"/>
          <w:szCs w:val="28"/>
        </w:rPr>
        <w:t>/h・m。</w:t>
      </w:r>
    </w:p>
    <w:p>
      <w:pPr>
        <w:pStyle w:val="8"/>
        <w:ind w:firstLine="562"/>
        <w:rPr>
          <w:rFonts w:cs="Times New Roman"/>
        </w:rPr>
      </w:pPr>
      <w:r>
        <w:rPr>
          <w:rFonts w:hint="eastAsia" w:cs="Times New Roman"/>
        </w:rPr>
        <w:t>2.1</w:t>
      </w:r>
      <w:r>
        <w:rPr>
          <w:rFonts w:cs="Times New Roman"/>
        </w:rPr>
        <w:t>.5.2地下水补给来源分析</w:t>
      </w:r>
    </w:p>
    <w:p>
      <w:pPr>
        <w:ind w:firstLine="560"/>
        <w:jc w:val="left"/>
        <w:rPr>
          <w:rFonts w:cs="Times New Roman"/>
          <w:szCs w:val="28"/>
        </w:rPr>
      </w:pPr>
      <w:r>
        <w:rPr>
          <w:rFonts w:cs="Times New Roman"/>
          <w:szCs w:val="28"/>
        </w:rPr>
        <w:t>调查区入渗补给主要包括降水入渗、侧向不给、井灌回归、河流渗漏补给等。</w:t>
      </w:r>
    </w:p>
    <w:p>
      <w:pPr>
        <w:ind w:firstLine="560"/>
        <w:jc w:val="left"/>
        <w:rPr>
          <w:rFonts w:cs="Times New Roman"/>
          <w:szCs w:val="28"/>
        </w:rPr>
      </w:pPr>
      <w:r>
        <w:rPr>
          <w:rFonts w:cs="Times New Roman"/>
          <w:szCs w:val="28"/>
        </w:rPr>
        <w:t>（1）降水入渗补给</w:t>
      </w:r>
    </w:p>
    <w:p>
      <w:pPr>
        <w:ind w:firstLine="560"/>
        <w:jc w:val="left"/>
        <w:rPr>
          <w:rFonts w:cs="Times New Roman"/>
          <w:szCs w:val="28"/>
        </w:rPr>
      </w:pPr>
      <w:r>
        <w:rPr>
          <w:rFonts w:cs="Times New Roman"/>
          <w:szCs w:val="28"/>
        </w:rPr>
        <w:t>降水入渗补给量主要受降水和包气带岩性、厚度影响。一般降水量越大、包气带岩性颗粒越粗，降水入渗补给量越大，另外，包气带岩性的最佳水位埋深为3-4m，在最佳水位埋深处降水入渗补给量最大，小于或超过最佳水位埋深，降水入渗量减小。</w:t>
      </w:r>
    </w:p>
    <w:p>
      <w:pPr>
        <w:ind w:firstLine="560"/>
        <w:jc w:val="left"/>
        <w:rPr>
          <w:rFonts w:cs="Times New Roman"/>
          <w:szCs w:val="28"/>
        </w:rPr>
      </w:pPr>
      <w:r>
        <w:rPr>
          <w:rFonts w:cs="Times New Roman"/>
          <w:szCs w:val="28"/>
        </w:rPr>
        <w:t>低水位期全区包气带厚度以14-30m为主，其次是大于30m和小于15m。现状条件下包气带的岩性厚度较上世纪80年代明显增大。参照前人工作工作成果，本区大面积区域降水入系数0.16。</w:t>
      </w:r>
    </w:p>
    <w:p>
      <w:pPr>
        <w:ind w:firstLine="560"/>
        <w:jc w:val="left"/>
        <w:rPr>
          <w:rFonts w:cs="Times New Roman"/>
          <w:szCs w:val="28"/>
        </w:rPr>
      </w:pPr>
      <w:r>
        <w:rPr>
          <w:rFonts w:cs="Times New Roman"/>
          <w:szCs w:val="28"/>
        </w:rPr>
        <w:t>（2）井灌回归</w:t>
      </w:r>
    </w:p>
    <w:p>
      <w:pPr>
        <w:ind w:firstLine="560"/>
        <w:jc w:val="left"/>
        <w:rPr>
          <w:rFonts w:cs="Times New Roman"/>
          <w:szCs w:val="28"/>
        </w:rPr>
      </w:pPr>
      <w:r>
        <w:rPr>
          <w:rFonts w:cs="Times New Roman"/>
          <w:szCs w:val="28"/>
        </w:rPr>
        <w:t>井灌回归主要受灌水量、包气带岩性和地下水位埋深影响，灌水量越大、包气带岩性颗粒越粗，灌溉入渗补给量越大。丰水年因农业用水量减少，井灌回归补给量相应减少；反之较多。</w:t>
      </w:r>
    </w:p>
    <w:p>
      <w:pPr>
        <w:ind w:firstLine="560"/>
        <w:jc w:val="left"/>
        <w:rPr>
          <w:rFonts w:cs="Times New Roman"/>
          <w:szCs w:val="28"/>
        </w:rPr>
      </w:pPr>
      <w:r>
        <w:rPr>
          <w:rFonts w:cs="Times New Roman"/>
          <w:szCs w:val="28"/>
        </w:rPr>
        <w:t>（3）河流渗漏补给</w:t>
      </w:r>
    </w:p>
    <w:p>
      <w:pPr>
        <w:ind w:firstLine="560"/>
        <w:jc w:val="left"/>
        <w:rPr>
          <w:rFonts w:cs="Times New Roman"/>
          <w:szCs w:val="28"/>
        </w:rPr>
      </w:pPr>
      <w:r>
        <w:rPr>
          <w:rFonts w:cs="Times New Roman"/>
          <w:szCs w:val="28"/>
        </w:rPr>
        <w:t>河流渗漏补给主要受河流径流、河床岩性、地下水水位埋深等因素影响，河流径流量越大、河床岩性越粗、地下水水位埋深越大，河道渗漏补给量越大。</w:t>
      </w:r>
    </w:p>
    <w:p>
      <w:pPr>
        <w:ind w:firstLine="560"/>
        <w:jc w:val="left"/>
        <w:rPr>
          <w:rFonts w:cs="Times New Roman"/>
          <w:szCs w:val="28"/>
        </w:rPr>
      </w:pPr>
      <w:r>
        <w:rPr>
          <w:rFonts w:cs="Times New Roman"/>
          <w:szCs w:val="28"/>
        </w:rPr>
        <w:t>目前，工作区内河流漕河、界河等。工作区内漕河因汛期上游水库泄洪有水外，其它季节基本断流，平时为干河。界河河水在调查区内全部渗入地下，失去了对地下水补给的能力，季节性有水的河流水量很少，对地下水补给作用仅限于雨季，补给甚微。</w:t>
      </w:r>
    </w:p>
    <w:p>
      <w:pPr>
        <w:ind w:firstLine="560"/>
        <w:jc w:val="left"/>
        <w:rPr>
          <w:rFonts w:cs="Times New Roman"/>
          <w:szCs w:val="28"/>
        </w:rPr>
      </w:pPr>
      <w:r>
        <w:rPr>
          <w:rFonts w:cs="Times New Roman"/>
          <w:szCs w:val="28"/>
        </w:rPr>
        <w:t>（4）山区地下水对平原区的侧向径流补给</w:t>
      </w:r>
    </w:p>
    <w:p>
      <w:pPr>
        <w:ind w:firstLine="560"/>
        <w:jc w:val="left"/>
        <w:rPr>
          <w:rFonts w:cs="Times New Roman"/>
          <w:szCs w:val="28"/>
        </w:rPr>
      </w:pPr>
      <w:r>
        <w:rPr>
          <w:rFonts w:cs="Times New Roman"/>
          <w:szCs w:val="28"/>
        </w:rPr>
        <w:t>山前地带第四系堆积物，由于所处地貌部位及成因类型的不同，接受山区地下水补给条件亦有显著差异。一般在河流出山口处的冲洪积扇顶部，第四系卵砾石、砂砾石湖砂层与基岩直接接触，接受补给的条件良好，而在扇间洼地地带，则表现为厚层、巨厚层粘性土与基岩直接接触，这就阻挡了山区地下水向平原区的排泄。</w:t>
      </w:r>
    </w:p>
    <w:p>
      <w:pPr>
        <w:ind w:firstLine="560"/>
        <w:jc w:val="left"/>
        <w:rPr>
          <w:rFonts w:cs="Times New Roman"/>
          <w:szCs w:val="28"/>
        </w:rPr>
      </w:pPr>
      <w:r>
        <w:rPr>
          <w:rFonts w:cs="Times New Roman"/>
          <w:szCs w:val="28"/>
        </w:rPr>
        <w:t>总之，本区山区地下水对平原区的补给，主要是在近代河流出山口处，通过河床下的第四系砂砾石、基岩裂隙岩溶带或风化裂隙带，以潜流的形式进行补给。</w:t>
      </w:r>
    </w:p>
    <w:p>
      <w:pPr>
        <w:pStyle w:val="8"/>
        <w:ind w:firstLine="562"/>
        <w:rPr>
          <w:rFonts w:cs="Times New Roman"/>
        </w:rPr>
      </w:pPr>
      <w:r>
        <w:rPr>
          <w:rFonts w:hint="eastAsia" w:cs="Times New Roman"/>
        </w:rPr>
        <w:t>2.1</w:t>
      </w:r>
      <w:r>
        <w:rPr>
          <w:rFonts w:cs="Times New Roman"/>
        </w:rPr>
        <w:t>.5.3 地下水动态特征</w:t>
      </w:r>
    </w:p>
    <w:p>
      <w:pPr>
        <w:ind w:firstLine="560"/>
        <w:jc w:val="left"/>
        <w:rPr>
          <w:rFonts w:cs="Times New Roman"/>
          <w:szCs w:val="28"/>
        </w:rPr>
      </w:pPr>
      <w:r>
        <w:rPr>
          <w:rFonts w:cs="Times New Roman"/>
          <w:szCs w:val="28"/>
        </w:rPr>
        <w:t>地下水水位动态受大气降水及人工开采的影响。水位动态分为多年变化动态、年内动态变化、地下水平面动态变化以及生产井开采引起的变化。</w:t>
      </w:r>
    </w:p>
    <w:p>
      <w:pPr>
        <w:ind w:firstLine="560"/>
        <w:jc w:val="left"/>
        <w:rPr>
          <w:rFonts w:cs="Times New Roman"/>
          <w:szCs w:val="28"/>
        </w:rPr>
      </w:pPr>
      <w:r>
        <w:rPr>
          <w:rFonts w:cs="Times New Roman"/>
          <w:szCs w:val="28"/>
        </w:rPr>
        <w:t>地下水多年动态主要受年降水量、年开采量和区域水位开采的影响。</w:t>
      </w:r>
    </w:p>
    <w:p>
      <w:pPr>
        <w:ind w:firstLine="560"/>
        <w:jc w:val="left"/>
        <w:rPr>
          <w:rFonts w:cs="Times New Roman"/>
          <w:szCs w:val="28"/>
        </w:rPr>
      </w:pPr>
      <w:r>
        <w:rPr>
          <w:rFonts w:cs="Times New Roman"/>
          <w:szCs w:val="28"/>
        </w:rPr>
        <w:t>1997-2000年，水源地开量持在5117.70-6405.69(m</w:t>
      </w:r>
      <w:r>
        <w:rPr>
          <w:rFonts w:cs="Times New Roman"/>
          <w:szCs w:val="28"/>
          <w:vertAlign w:val="superscript"/>
        </w:rPr>
        <w:t>3</w:t>
      </w:r>
      <w:r>
        <w:rPr>
          <w:rFonts w:cs="Times New Roman"/>
          <w:szCs w:val="28"/>
        </w:rPr>
        <w:t>×l0</w:t>
      </w:r>
      <w:r>
        <w:rPr>
          <w:rFonts w:cs="Times New Roman"/>
          <w:szCs w:val="28"/>
          <w:vertAlign w:val="superscript"/>
        </w:rPr>
        <w:t>4</w:t>
      </w:r>
      <w:r>
        <w:rPr>
          <w:rFonts w:cs="Times New Roman"/>
          <w:szCs w:val="28"/>
        </w:rPr>
        <w:t>/a)之间，开采量较大， 地下水水位埋深自18.06m快速下降至30.85m。</w:t>
      </w:r>
    </w:p>
    <w:p>
      <w:pPr>
        <w:ind w:firstLine="560"/>
        <w:jc w:val="left"/>
        <w:rPr>
          <w:rFonts w:cs="Times New Roman"/>
          <w:szCs w:val="28"/>
        </w:rPr>
      </w:pPr>
      <w:r>
        <w:rPr>
          <w:rFonts w:cs="Times New Roman"/>
          <w:szCs w:val="28"/>
        </w:rPr>
        <w:t>2000-2006年，保定市引入西大洋水库地表水作为市主要供亩泉年开采量降低至1000(m</w:t>
      </w:r>
      <w:r>
        <w:rPr>
          <w:rFonts w:cs="Times New Roman"/>
          <w:szCs w:val="28"/>
          <w:vertAlign w:val="superscript"/>
        </w:rPr>
        <w:t>3</w:t>
      </w:r>
      <w:r>
        <w:rPr>
          <w:rFonts w:cs="Times New Roman"/>
          <w:szCs w:val="28"/>
        </w:rPr>
        <w:t>×l0</w:t>
      </w:r>
      <w:r>
        <w:rPr>
          <w:rFonts w:cs="Times New Roman"/>
          <w:szCs w:val="28"/>
          <w:vertAlign w:val="superscript"/>
        </w:rPr>
        <w:t>4</w:t>
      </w:r>
      <w:r>
        <w:rPr>
          <w:rFonts w:cs="Times New Roman"/>
          <w:szCs w:val="28"/>
        </w:rPr>
        <w:t>/a)左右，地下水水位主要受降雨量及区域水位开采的影响，水位缓慢升高，水位波动变化不大。但仍处于较低状态。</w:t>
      </w:r>
    </w:p>
    <w:p>
      <w:pPr>
        <w:ind w:firstLine="560"/>
        <w:jc w:val="left"/>
        <w:rPr>
          <w:rFonts w:cs="Times New Roman"/>
          <w:szCs w:val="28"/>
        </w:rPr>
      </w:pPr>
      <w:r>
        <w:rPr>
          <w:rFonts w:cs="Times New Roman"/>
          <w:szCs w:val="28"/>
        </w:rPr>
        <w:t>南水北调工程配套的第二地表水厂建成后。保定市供水主要由南水北调供应，缺口不足部分由西大洋水库供应。一亩泉水源地转为应急备用水源地。</w:t>
      </w:r>
    </w:p>
    <w:p>
      <w:pPr>
        <w:pStyle w:val="8"/>
        <w:ind w:firstLine="562"/>
      </w:pPr>
      <w:r>
        <w:rPr>
          <w:rFonts w:hint="eastAsia"/>
        </w:rPr>
        <w:t>2.1.5.4 地下水化学类型</w:t>
      </w:r>
    </w:p>
    <w:p>
      <w:pPr>
        <w:ind w:firstLine="560"/>
      </w:pPr>
      <w:r>
        <w:rPr>
          <w:rFonts w:hint="eastAsia"/>
        </w:rPr>
        <w:t>根据前期调查工作，一亩泉水源地保护区和补给区地下水化学类型特征如下：</w:t>
      </w:r>
    </w:p>
    <w:p>
      <w:pPr>
        <w:pStyle w:val="28"/>
        <w:spacing w:after="0" w:line="240" w:lineRule="auto"/>
        <w:ind w:firstLine="560"/>
        <w:rPr>
          <w:rFonts w:ascii="Times New Roman" w:hAnsi="Times New Roman" w:eastAsia="宋体" w:cs="Times New Roman"/>
        </w:rPr>
      </w:pPr>
      <w:r>
        <w:rPr>
          <w:rFonts w:ascii="Times New Roman" w:hAnsi="Times New Roman" w:eastAsia="宋体" w:cs="Times New Roman"/>
        </w:rPr>
        <w:t>区内浅层地下水水化学类型相对较少（共6种），地下水阳离子以Ca</w:t>
      </w:r>
      <w:r>
        <w:rPr>
          <w:rFonts w:ascii="Times New Roman" w:hAnsi="Times New Roman" w:eastAsia="宋体" w:cs="Times New Roman"/>
          <w:vertAlign w:val="superscript"/>
        </w:rPr>
        <w:t>2+</w:t>
      </w:r>
      <w:r>
        <w:rPr>
          <w:rFonts w:ascii="Times New Roman" w:hAnsi="Times New Roman" w:eastAsia="宋体" w:cs="Times New Roman"/>
        </w:rPr>
        <w:t>和Mg</w:t>
      </w:r>
      <w:r>
        <w:rPr>
          <w:rFonts w:ascii="Times New Roman" w:hAnsi="Times New Roman" w:eastAsia="宋体" w:cs="Times New Roman"/>
          <w:vertAlign w:val="superscript"/>
        </w:rPr>
        <w:t>2+</w:t>
      </w:r>
      <w:r>
        <w:rPr>
          <w:rFonts w:ascii="Times New Roman" w:hAnsi="Times New Roman" w:eastAsia="宋体" w:cs="Times New Roman"/>
        </w:rPr>
        <w:t>为主，阴离子以HCO</w:t>
      </w:r>
      <w:r>
        <w:rPr>
          <w:rFonts w:ascii="Times New Roman" w:hAnsi="Times New Roman" w:eastAsia="宋体" w:cs="Times New Roman"/>
          <w:vertAlign w:val="subscript"/>
        </w:rPr>
        <w:t>3</w:t>
      </w:r>
      <w:r>
        <w:rPr>
          <w:rFonts w:ascii="Times New Roman" w:hAnsi="Times New Roman" w:eastAsia="宋体" w:cs="Times New Roman"/>
          <w:vertAlign w:val="superscript"/>
        </w:rPr>
        <w:t>-</w:t>
      </w:r>
      <w:r>
        <w:rPr>
          <w:rFonts w:ascii="Times New Roman" w:hAnsi="Times New Roman" w:eastAsia="宋体" w:cs="Times New Roman"/>
        </w:rPr>
        <w:t>为主，自西向东主要有HCO</w:t>
      </w:r>
      <w:r>
        <w:rPr>
          <w:rFonts w:ascii="Times New Roman" w:hAnsi="Times New Roman" w:eastAsia="宋体" w:cs="Times New Roman"/>
          <w:vertAlign w:val="subscript"/>
        </w:rPr>
        <w:t>3</w:t>
      </w:r>
      <w:r>
        <w:rPr>
          <w:rFonts w:ascii="Times New Roman" w:hAnsi="Times New Roman" w:eastAsia="宋体" w:cs="Times New Roman"/>
        </w:rPr>
        <w:t>-Ca·Mg型水、HCO</w:t>
      </w:r>
      <w:r>
        <w:rPr>
          <w:rFonts w:ascii="Times New Roman" w:hAnsi="Times New Roman" w:eastAsia="宋体" w:cs="Times New Roman"/>
          <w:vertAlign w:val="subscript"/>
        </w:rPr>
        <w:t>3</w:t>
      </w:r>
      <w:r>
        <w:rPr>
          <w:rFonts w:ascii="Times New Roman" w:hAnsi="Times New Roman" w:eastAsia="宋体" w:cs="Times New Roman"/>
        </w:rPr>
        <w:t>·Cl—Ca·Mg型水、HCO</w:t>
      </w:r>
      <w:r>
        <w:rPr>
          <w:rFonts w:ascii="Times New Roman" w:hAnsi="Times New Roman" w:eastAsia="宋体" w:cs="Times New Roman"/>
          <w:vertAlign w:val="subscript"/>
        </w:rPr>
        <w:t>3</w:t>
      </w:r>
      <w:r>
        <w:rPr>
          <w:rFonts w:ascii="Times New Roman" w:hAnsi="Times New Roman" w:eastAsia="宋体" w:cs="Times New Roman"/>
        </w:rPr>
        <w:t>—Mg·Ca型水、Cl·HCO</w:t>
      </w:r>
      <w:r>
        <w:rPr>
          <w:rFonts w:ascii="Times New Roman" w:hAnsi="Times New Roman" w:eastAsia="宋体" w:cs="Times New Roman"/>
          <w:vertAlign w:val="subscript"/>
        </w:rPr>
        <w:t>3</w:t>
      </w:r>
      <w:r>
        <w:rPr>
          <w:rFonts w:ascii="Times New Roman" w:hAnsi="Times New Roman" w:eastAsia="宋体" w:cs="Times New Roman"/>
        </w:rPr>
        <w:t>—Ca·Na·Mg 型水、HCO</w:t>
      </w:r>
      <w:r>
        <w:rPr>
          <w:rFonts w:ascii="Times New Roman" w:hAnsi="Times New Roman" w:eastAsia="宋体" w:cs="Times New Roman"/>
          <w:vertAlign w:val="subscript"/>
        </w:rPr>
        <w:t>3</w:t>
      </w:r>
      <w:r>
        <w:rPr>
          <w:rFonts w:ascii="Times New Roman" w:hAnsi="Times New Roman" w:eastAsia="宋体" w:cs="Times New Roman"/>
        </w:rPr>
        <w:t>·Cl—Mg·Ca 型水、HCO</w:t>
      </w:r>
      <w:r>
        <w:rPr>
          <w:rFonts w:ascii="Times New Roman" w:hAnsi="Times New Roman" w:eastAsia="宋体" w:cs="Times New Roman"/>
          <w:vertAlign w:val="subscript"/>
        </w:rPr>
        <w:t>3</w:t>
      </w:r>
      <w:r>
        <w:rPr>
          <w:rFonts w:ascii="Times New Roman" w:hAnsi="Times New Roman" w:eastAsia="宋体" w:cs="Times New Roman"/>
        </w:rPr>
        <w:t>—Ca·Na·Mg型水。</w:t>
      </w:r>
    </w:p>
    <w:p>
      <w:pPr>
        <w:pStyle w:val="28"/>
        <w:spacing w:after="0" w:line="240" w:lineRule="auto"/>
        <w:ind w:firstLine="560"/>
        <w:rPr>
          <w:rFonts w:ascii="Times New Roman" w:hAnsi="Times New Roman" w:eastAsia="宋体" w:cs="Times New Roman"/>
        </w:rPr>
      </w:pP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rPr>
        <w:t>-Ca·Mg型水广泛分布于调查区西部、中部、东部、南部等大部分区域，占调查区78.35%，为调查区内主要水化学类型。矿化度0.29-0.84g/L，平均值0.45g/L；</w:t>
      </w:r>
      <w:r>
        <w:rPr>
          <w:rFonts w:hint="eastAsia" w:ascii="Times New Roman" w:hAnsi="Times New Roman" w:eastAsia="宋体" w:cs="Times New Roman"/>
        </w:rPr>
        <w:t>p</w:t>
      </w:r>
      <w:r>
        <w:rPr>
          <w:rFonts w:ascii="Times New Roman" w:hAnsi="Times New Roman" w:eastAsia="宋体" w:cs="Times New Roman"/>
        </w:rPr>
        <w:t>H值7.05-8.22，平均值7.51。</w:t>
      </w:r>
    </w:p>
    <w:p>
      <w:pPr>
        <w:pStyle w:val="28"/>
        <w:spacing w:after="0" w:line="240" w:lineRule="auto"/>
        <w:ind w:firstLine="560"/>
        <w:rPr>
          <w:rFonts w:ascii="Times New Roman" w:hAnsi="Times New Roman" w:eastAsia="宋体" w:cs="Times New Roman"/>
        </w:rPr>
      </w:pP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rPr>
        <w:t>·Cl—Ca·Mg型水主要分布在调查区东北部的两渔村—要庄—一亩泉村一带，占调查区10.31%，矿化度0.42-1.11g/L，平均值0.71g/L；</w:t>
      </w:r>
      <w:r>
        <w:rPr>
          <w:rFonts w:hint="eastAsia" w:ascii="Times New Roman" w:hAnsi="Times New Roman" w:eastAsia="宋体" w:cs="Times New Roman"/>
        </w:rPr>
        <w:t>p</w:t>
      </w:r>
      <w:r>
        <w:rPr>
          <w:rFonts w:ascii="Times New Roman" w:hAnsi="Times New Roman" w:eastAsia="宋体" w:cs="Times New Roman"/>
        </w:rPr>
        <w:t>H值7.08-7.70，平均值7.34。</w:t>
      </w:r>
    </w:p>
    <w:p>
      <w:pPr>
        <w:pStyle w:val="28"/>
        <w:spacing w:after="0" w:line="240" w:lineRule="auto"/>
        <w:ind w:firstLine="560"/>
        <w:rPr>
          <w:rFonts w:ascii="Times New Roman" w:hAnsi="Times New Roman" w:eastAsia="宋体" w:cs="Times New Roman"/>
        </w:rPr>
      </w:pPr>
      <w:r>
        <w:rPr>
          <w:rFonts w:ascii="Times New Roman" w:hAnsi="Times New Roman" w:eastAsia="宋体" w:cs="Times New Roman"/>
        </w:rPr>
        <w:t>HCO</w:t>
      </w:r>
      <w:r>
        <w:rPr>
          <w:rFonts w:ascii="Times New Roman" w:hAnsi="Times New Roman" w:eastAsia="宋体" w:cs="Times New Roman"/>
          <w:vertAlign w:val="subscript"/>
        </w:rPr>
        <w:t>3</w:t>
      </w:r>
      <w:r>
        <w:rPr>
          <w:rFonts w:ascii="Times New Roman" w:hAnsi="Times New Roman" w:eastAsia="宋体" w:cs="Times New Roman"/>
        </w:rPr>
        <w:t>—Mg·Ca型水主要分布在调查区西南部的海家庄</w:t>
      </w:r>
      <w:r>
        <w:rPr>
          <w:rFonts w:hint="eastAsia" w:ascii="Times New Roman" w:hAnsi="Times New Roman" w:eastAsia="宋体" w:cs="Times New Roman"/>
        </w:rPr>
        <w:t>—</w:t>
      </w:r>
      <w:r>
        <w:rPr>
          <w:rFonts w:ascii="Times New Roman" w:hAnsi="Times New Roman" w:eastAsia="宋体" w:cs="Times New Roman"/>
        </w:rPr>
        <w:t>两分庄</w:t>
      </w:r>
      <w:r>
        <w:rPr>
          <w:rFonts w:hint="eastAsia" w:ascii="Times New Roman" w:hAnsi="Times New Roman" w:eastAsia="宋体" w:cs="Times New Roman"/>
        </w:rPr>
        <w:t>—</w:t>
      </w:r>
      <w:r>
        <w:rPr>
          <w:rFonts w:ascii="Times New Roman" w:hAnsi="Times New Roman" w:eastAsia="宋体" w:cs="Times New Roman"/>
        </w:rPr>
        <w:t>南辛庄一带占调查区8.25%，矿化度0.29-0.69g/L，平均值0.45g/L；</w:t>
      </w:r>
      <w:r>
        <w:rPr>
          <w:rFonts w:hint="eastAsia" w:ascii="Times New Roman" w:hAnsi="Times New Roman" w:eastAsia="宋体" w:cs="Times New Roman"/>
        </w:rPr>
        <w:t>p</w:t>
      </w:r>
      <w:r>
        <w:rPr>
          <w:rFonts w:ascii="Times New Roman" w:hAnsi="Times New Roman" w:eastAsia="宋体" w:cs="Times New Roman"/>
        </w:rPr>
        <w:t>H值7.31-7.81，平均值7.62。</w:t>
      </w:r>
    </w:p>
    <w:p>
      <w:pPr>
        <w:pStyle w:val="28"/>
        <w:spacing w:after="0" w:line="240" w:lineRule="auto"/>
        <w:ind w:firstLine="560"/>
        <w:rPr>
          <w:rFonts w:ascii="Times New Roman" w:hAnsi="Times New Roman" w:eastAsia="宋体" w:cs="Times New Roman"/>
        </w:rPr>
      </w:pPr>
      <w:r>
        <w:rPr>
          <w:rFonts w:ascii="Times New Roman" w:hAnsi="Times New Roman" w:eastAsia="宋体" w:cs="Times New Roman"/>
        </w:rPr>
        <w:t>Cl·HCO</w:t>
      </w:r>
      <w:r>
        <w:rPr>
          <w:rFonts w:ascii="Times New Roman" w:hAnsi="Times New Roman" w:eastAsia="宋体" w:cs="Times New Roman"/>
          <w:vertAlign w:val="subscript"/>
        </w:rPr>
        <w:t>3</w:t>
      </w:r>
      <w:r>
        <w:rPr>
          <w:rFonts w:hint="eastAsia" w:ascii="Times New Roman" w:hAnsi="Times New Roman" w:eastAsia="宋体" w:cs="Times New Roman"/>
        </w:rPr>
        <w:t>—</w:t>
      </w:r>
      <w:r>
        <w:rPr>
          <w:rFonts w:ascii="Times New Roman" w:hAnsi="Times New Roman" w:eastAsia="宋体" w:cs="Times New Roman"/>
        </w:rPr>
        <w:t>Ca·Na·Mg 型水、HCO</w:t>
      </w:r>
      <w:r>
        <w:rPr>
          <w:rFonts w:ascii="Times New Roman" w:hAnsi="Times New Roman" w:eastAsia="宋体" w:cs="Times New Roman"/>
          <w:vertAlign w:val="subscript"/>
        </w:rPr>
        <w:t>3</w:t>
      </w:r>
      <w:r>
        <w:rPr>
          <w:rFonts w:ascii="Times New Roman" w:hAnsi="Times New Roman" w:eastAsia="宋体" w:cs="Times New Roman"/>
        </w:rPr>
        <w:t>·Cl—Mg·Ca 型水、HCO</w:t>
      </w:r>
      <w:r>
        <w:rPr>
          <w:rFonts w:ascii="Times New Roman" w:hAnsi="Times New Roman" w:eastAsia="宋体" w:cs="Times New Roman"/>
          <w:vertAlign w:val="subscript"/>
        </w:rPr>
        <w:t>3</w:t>
      </w:r>
      <w:r>
        <w:rPr>
          <w:rFonts w:hint="eastAsia" w:ascii="Times New Roman" w:hAnsi="Times New Roman" w:eastAsia="宋体" w:cs="Times New Roman"/>
        </w:rPr>
        <w:t>—</w:t>
      </w:r>
      <w:r>
        <w:rPr>
          <w:rFonts w:ascii="Times New Roman" w:hAnsi="Times New Roman" w:eastAsia="宋体" w:cs="Times New Roman"/>
        </w:rPr>
        <w:t>Ca·Na·Mg型水根据此次水质检测结果显示各有一个，占比均约1.03%，零星分布于调查区内。</w:t>
      </w:r>
    </w:p>
    <w:p>
      <w:pPr>
        <w:pStyle w:val="5"/>
        <w:ind w:firstLine="602"/>
        <w:rPr>
          <w:b/>
          <w:bCs/>
        </w:rPr>
      </w:pPr>
      <w:bookmarkStart w:id="56" w:name="_Toc118098347"/>
      <w:r>
        <w:rPr>
          <w:rFonts w:hint="eastAsia"/>
          <w:b/>
          <w:bCs/>
        </w:rPr>
        <w:t>2.2 社会经济状况</w:t>
      </w:r>
      <w:bookmarkEnd w:id="56"/>
    </w:p>
    <w:p>
      <w:pPr>
        <w:pStyle w:val="6"/>
        <w:spacing w:before="163" w:after="163"/>
        <w:ind w:firstLine="562"/>
      </w:pPr>
      <w:r>
        <w:rPr>
          <w:rFonts w:hint="eastAsia"/>
        </w:rPr>
        <w:t>2.2.1 行政区划及人口</w:t>
      </w:r>
    </w:p>
    <w:p>
      <w:pPr>
        <w:ind w:firstLine="560"/>
        <w:rPr>
          <w:rFonts w:ascii="宋体" w:hAnsi="宋体"/>
          <w:szCs w:val="28"/>
        </w:rPr>
      </w:pPr>
      <w:r>
        <w:rPr>
          <w:rFonts w:hint="eastAsia" w:ascii="宋体" w:hAnsi="宋体"/>
          <w:szCs w:val="28"/>
        </w:rPr>
        <w:t>一亩泉水源地所在行政区域位于河北省中部的保定市，水源地保护区主体处于满城区。满城区满城区辖1个街道、6个镇、5个乡、1开发区。惠阳街道、满城镇、大册营镇、神星镇、南韩村镇、方顺桥镇、于家庄镇、要庄乡、白龙乡、石井乡、坨南乡、刘家台乡、河北满城经济开发区。</w:t>
      </w:r>
    </w:p>
    <w:p>
      <w:pPr>
        <w:ind w:firstLine="560"/>
      </w:pPr>
      <w:r>
        <w:rPr>
          <w:rFonts w:hint="eastAsia"/>
        </w:rPr>
        <w:t>根据</w:t>
      </w:r>
      <w:r>
        <w:t>满城区</w:t>
      </w:r>
      <w:r>
        <w:rPr>
          <w:rFonts w:hint="eastAsia"/>
        </w:rPr>
        <w:t>2021年</w:t>
      </w:r>
      <w:r>
        <w:t>国民经济和社会发展统计公报</w:t>
      </w:r>
      <w:r>
        <w:rPr>
          <w:rFonts w:hint="eastAsia"/>
        </w:rPr>
        <w:t>数据显示，满城全区常住人口391562人，其中，城镇人口218656人，城镇化率55.84%。全年全区城镇职工参加基本养老保险人数为45367人，比上年末增加492人。其中，参保在职职工达34843人(其中，企业25810人，机关事业9033人），参保离退休人员达10524人（其中，企业6266人，机关事业4258人）。参加失业保险 22626人，参加工伤保险26195人，其中，参加工伤保险农民工10911人。</w:t>
      </w:r>
    </w:p>
    <w:p>
      <w:pPr>
        <w:pStyle w:val="6"/>
        <w:spacing w:before="163" w:after="163"/>
        <w:ind w:firstLine="562"/>
      </w:pPr>
      <w:r>
        <w:rPr>
          <w:rFonts w:hint="eastAsia"/>
        </w:rPr>
        <w:t>2.2.2 经济概况</w:t>
      </w:r>
    </w:p>
    <w:p>
      <w:pPr>
        <w:ind w:firstLine="560"/>
      </w:pPr>
      <w:r>
        <w:rPr>
          <w:rFonts w:hint="eastAsia"/>
        </w:rPr>
        <w:t>根据</w:t>
      </w:r>
      <w:r>
        <w:t>保定市满城区</w:t>
      </w:r>
      <w:r>
        <w:rPr>
          <w:rFonts w:hint="eastAsia"/>
        </w:rPr>
        <w:t>历年</w:t>
      </w:r>
      <w:r>
        <w:t>国民经济和社会发展统计公报</w:t>
      </w:r>
      <w:r>
        <w:rPr>
          <w:rFonts w:hint="eastAsia"/>
        </w:rPr>
        <w:t>显示：</w:t>
      </w:r>
    </w:p>
    <w:p>
      <w:pPr>
        <w:ind w:firstLine="560"/>
      </w:pPr>
      <w:r>
        <w:rPr>
          <w:rFonts w:hint="eastAsia"/>
        </w:rPr>
        <w:t>2021年，全区生产总值完成1430522万元，比上年增长 8.0%。其中，第一产业增加值252307万元，增长6%；第二产业增加值422973万元，增长5.9%；第三产业增加值755242万元，增长9.6%。三次产业比为17.6：29.6：52.8，财政收入占GDP比重达9.5%。</w:t>
      </w:r>
    </w:p>
    <w:p>
      <w:pPr>
        <w:ind w:firstLine="560"/>
      </w:pPr>
      <w:r>
        <w:t>2020年，全年全区生产总值完成1265772万元，比上年增长 4.0%。其中，第一产业增加值242605万元，增长7.6%；第二产业增加值313391万元，增长2.2%；第三产业增加值709776万元，增长3.5%。三次产业比为 19.2：24.7：56.1，财政收入占GDP比重达11.5%。</w:t>
      </w:r>
    </w:p>
    <w:p>
      <w:pPr>
        <w:ind w:firstLine="560"/>
      </w:pPr>
      <w:r>
        <w:t>2019年，满城区地区生产总值1203442万元，比2018年增长 9.0%。其中，第一产业增加值210565万元，增长1.1%。第二产业增加值322245万元，增长5.9%。第三产业增加值670632万元，增长13.7%。三次产业结构为 17.5%、26.8%和55.7%，财政收入占地区生产总值11.8%。</w:t>
      </w:r>
    </w:p>
    <w:p>
      <w:pPr>
        <w:ind w:firstLine="560"/>
      </w:pPr>
      <w:r>
        <w:t>2018年，满城区生产总值1155535万元，比2017年增长6.7%。其中，第一产业增加值198423万元，增长3.9 %。第二产业增加值417171万元，增长4.2%。第三产业增加值539941万元，增长12.8%。三次产业比重分别为17%、36%和47%，财政收入占地区生产总值比重达11.4%。</w:t>
      </w:r>
    </w:p>
    <w:p>
      <w:pPr>
        <w:pStyle w:val="5"/>
        <w:ind w:firstLine="602"/>
        <w:rPr>
          <w:b/>
          <w:bCs/>
        </w:rPr>
      </w:pPr>
      <w:bookmarkStart w:id="57" w:name="_Toc118098348"/>
      <w:r>
        <w:rPr>
          <w:rFonts w:hint="eastAsia"/>
          <w:b/>
          <w:bCs/>
        </w:rPr>
        <w:t>2.3 已开展的工作概况</w:t>
      </w:r>
      <w:bookmarkEnd w:id="57"/>
    </w:p>
    <w:p>
      <w:pPr>
        <w:ind w:firstLine="560"/>
      </w:pPr>
      <w:r>
        <w:rPr>
          <w:rFonts w:hint="eastAsia"/>
        </w:rPr>
        <w:t>20世纪50年代为解决满足经济生产需要，有关部门组织开展一亩泉水源地勘测，自此拉开了一亩泉水源区地下水勘查开发的序幕。60多年来，在对区域地质、水文地质条件勘查基础上，一亩泉水源地及周边较深入开展了城市与工业集中供水、农业供水、环境水文地质、工程地质、地下水人工补给及地下水动态与均衡等多方面专门性水文地质勘查研究以及</w:t>
      </w:r>
      <w:r>
        <w:t>地下水基础环境状况调查评估</w:t>
      </w:r>
      <w:r>
        <w:rPr>
          <w:rFonts w:hint="eastAsia"/>
        </w:rPr>
        <w:t>相关方面的工作，基本查明了一亩泉水源地保护区和补给区的地下水分布、埋藏条件、污染源分布等，计算评价了区域地下资源，探讨了地下水合理开发利用的途径和方法，取得了一批地下水勘查工作成果，促进了地下水科学研究的进展，这些工作均为本实施方案编制提供了重要参考。以往主要完成的工作成果见表2-1。</w:t>
      </w:r>
    </w:p>
    <w:tbl>
      <w:tblPr>
        <w:tblStyle w:val="30"/>
        <w:tblpPr w:leftFromText="180" w:rightFromText="180" w:vertAnchor="text" w:horzAnchor="page" w:tblpXSpec="center" w:tblpY="-7"/>
        <w:tblOverlap w:val="never"/>
        <w:tblW w:w="8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2"/>
        <w:gridCol w:w="842"/>
        <w:gridCol w:w="2301"/>
        <w:gridCol w:w="1765"/>
        <w:gridCol w:w="87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0" w:type="dxa"/>
            <w:gridSpan w:val="6"/>
            <w:tcBorders>
              <w:top w:val="nil"/>
              <w:left w:val="nil"/>
              <w:bottom w:val="single" w:color="auto" w:sz="4" w:space="0"/>
              <w:right w:val="nil"/>
            </w:tcBorders>
            <w:shd w:val="clear" w:color="auto" w:fill="auto"/>
            <w:noWrap/>
            <w:vAlign w:val="center"/>
          </w:tcPr>
          <w:p>
            <w:pPr>
              <w:pStyle w:val="62"/>
              <w:spacing w:before="0" w:beforeLines="0" w:after="0" w:afterLines="0"/>
              <w:rPr>
                <w:rFonts w:ascii="黑体" w:hAnsi="黑体" w:eastAsia="黑体" w:cs="黑体"/>
                <w:b w:val="0"/>
                <w:bCs w:val="0"/>
              </w:rPr>
            </w:pPr>
            <w:r>
              <w:rPr>
                <w:rFonts w:hint="eastAsia" w:ascii="黑体" w:hAnsi="黑体" w:eastAsia="黑体" w:cs="黑体"/>
                <w:b w:val="0"/>
                <w:bCs w:val="0"/>
              </w:rPr>
              <w:t>表2-1 以往主要完成工作成果表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tcBorders>
              <w:top w:val="single" w:color="auto" w:sz="4" w:space="0"/>
            </w:tcBorders>
            <w:shd w:val="clear" w:color="auto" w:fill="auto"/>
            <w:noWrap/>
            <w:vAlign w:val="center"/>
          </w:tcPr>
          <w:p>
            <w:pPr>
              <w:pStyle w:val="62"/>
              <w:spacing w:before="0" w:beforeLines="0" w:after="0" w:afterLines="0"/>
              <w:rPr>
                <w:rFonts w:ascii="宋体" w:hAnsi="宋体" w:cs="宋体"/>
                <w:b w:val="0"/>
                <w:bCs w:val="0"/>
                <w:color w:val="000000"/>
                <w:kern w:val="0"/>
                <w:lang w:bidi="ar"/>
              </w:rPr>
            </w:pPr>
            <w:r>
              <w:rPr>
                <w:rFonts w:hint="eastAsia" w:ascii="宋体" w:hAnsi="宋体" w:cs="宋体"/>
                <w:b w:val="0"/>
                <w:bCs w:val="0"/>
                <w:color w:val="000000"/>
                <w:kern w:val="0"/>
                <w:lang w:bidi="ar"/>
              </w:rPr>
              <w:t>序号</w:t>
            </w:r>
          </w:p>
        </w:tc>
        <w:tc>
          <w:tcPr>
            <w:tcW w:w="3143" w:type="dxa"/>
            <w:gridSpan w:val="2"/>
            <w:tcBorders>
              <w:top w:val="single" w:color="auto" w:sz="4" w:space="0"/>
            </w:tcBorders>
            <w:shd w:val="clear" w:color="auto" w:fill="auto"/>
            <w:noWrap/>
            <w:vAlign w:val="center"/>
          </w:tcPr>
          <w:p>
            <w:pPr>
              <w:pStyle w:val="62"/>
              <w:spacing w:before="0" w:beforeLines="0" w:after="0" w:afterLines="0"/>
              <w:rPr>
                <w:rFonts w:ascii="宋体" w:hAnsi="宋体" w:cs="宋体"/>
                <w:b w:val="0"/>
                <w:bCs w:val="0"/>
                <w:color w:val="000000"/>
                <w:kern w:val="0"/>
                <w:lang w:bidi="ar"/>
              </w:rPr>
            </w:pPr>
            <w:r>
              <w:rPr>
                <w:rFonts w:hint="eastAsia" w:ascii="宋体" w:hAnsi="宋体" w:cs="宋体"/>
                <w:b w:val="0"/>
                <w:bCs w:val="0"/>
                <w:color w:val="000000"/>
                <w:kern w:val="0"/>
                <w:lang w:bidi="ar"/>
              </w:rPr>
              <w:t>成果名称</w:t>
            </w:r>
          </w:p>
        </w:tc>
        <w:tc>
          <w:tcPr>
            <w:tcW w:w="1765" w:type="dxa"/>
            <w:tcBorders>
              <w:top w:val="single" w:color="auto" w:sz="4" w:space="0"/>
            </w:tcBorders>
            <w:shd w:val="clear" w:color="auto" w:fill="auto"/>
            <w:noWrap/>
            <w:vAlign w:val="center"/>
          </w:tcPr>
          <w:p>
            <w:pPr>
              <w:pStyle w:val="62"/>
              <w:spacing w:before="0" w:beforeLines="0" w:after="0" w:afterLines="0"/>
              <w:rPr>
                <w:rFonts w:ascii="宋体" w:hAnsi="宋体" w:cs="宋体"/>
                <w:b w:val="0"/>
                <w:bCs w:val="0"/>
                <w:color w:val="000000"/>
                <w:kern w:val="0"/>
                <w:lang w:bidi="ar"/>
              </w:rPr>
            </w:pPr>
            <w:r>
              <w:rPr>
                <w:rFonts w:hint="eastAsia" w:ascii="宋体" w:hAnsi="宋体" w:cs="宋体"/>
                <w:b w:val="0"/>
                <w:bCs w:val="0"/>
                <w:color w:val="000000"/>
                <w:kern w:val="0"/>
                <w:lang w:bidi="ar"/>
              </w:rPr>
              <w:t>提交单位</w:t>
            </w:r>
          </w:p>
        </w:tc>
        <w:tc>
          <w:tcPr>
            <w:tcW w:w="870" w:type="dxa"/>
            <w:tcBorders>
              <w:top w:val="single" w:color="auto" w:sz="4" w:space="0"/>
            </w:tcBorders>
            <w:shd w:val="clear" w:color="auto" w:fill="auto"/>
            <w:noWrap/>
            <w:vAlign w:val="center"/>
          </w:tcPr>
          <w:p>
            <w:pPr>
              <w:pStyle w:val="62"/>
              <w:spacing w:before="0" w:beforeLines="0" w:after="0" w:afterLines="0"/>
              <w:rPr>
                <w:rFonts w:ascii="宋体" w:hAnsi="宋体" w:cs="宋体"/>
                <w:b w:val="0"/>
                <w:bCs w:val="0"/>
                <w:color w:val="000000"/>
                <w:kern w:val="0"/>
                <w:lang w:bidi="ar"/>
              </w:rPr>
            </w:pPr>
            <w:r>
              <w:rPr>
                <w:rFonts w:hint="eastAsia" w:ascii="宋体" w:hAnsi="宋体" w:cs="宋体"/>
                <w:b w:val="0"/>
                <w:bCs w:val="0"/>
                <w:color w:val="000000"/>
                <w:kern w:val="0"/>
                <w:lang w:bidi="ar"/>
              </w:rPr>
              <w:t>时间</w:t>
            </w:r>
          </w:p>
        </w:tc>
        <w:tc>
          <w:tcPr>
            <w:tcW w:w="2130" w:type="dxa"/>
            <w:tcBorders>
              <w:top w:val="single" w:color="auto" w:sz="4" w:space="0"/>
            </w:tcBorders>
            <w:shd w:val="clear" w:color="auto" w:fill="auto"/>
            <w:noWrap/>
            <w:vAlign w:val="center"/>
          </w:tcPr>
          <w:p>
            <w:pPr>
              <w:pStyle w:val="62"/>
              <w:spacing w:before="0" w:beforeLines="0" w:after="0" w:afterLines="0"/>
              <w:rPr>
                <w:rFonts w:ascii="宋体" w:hAnsi="宋体" w:cs="宋体"/>
                <w:b w:val="0"/>
                <w:bCs w:val="0"/>
                <w:color w:val="000000"/>
                <w:kern w:val="0"/>
                <w:lang w:bidi="ar"/>
              </w:rPr>
            </w:pPr>
            <w:r>
              <w:rPr>
                <w:rFonts w:hint="eastAsia" w:ascii="宋体" w:hAnsi="宋体" w:cs="宋体"/>
                <w:b w:val="0"/>
                <w:bCs w:val="0"/>
                <w:color w:val="000000"/>
                <w:kern w:val="0"/>
                <w:lang w:bidi="ar"/>
              </w:rPr>
              <w:t>主要内容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842" w:type="dxa"/>
            <w:vMerge w:val="restart"/>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水文地质和地下水资源评价</w:t>
            </w: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保定市供水水文地质勘测报告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河北省水文地质工程地质大队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1958</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包含水源地区水文地质条件等基础情况资料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重点城市1:20万水文地质填图</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河北省地质局第一水文地质大队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1959-1962</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包括保定幅水文地质条件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保定平原区1:20万水文地质图编图</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河北省地质局水文地质第四大队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1975</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对保定平原区水文地质条件进行了详细研究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4</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保定地区平原地下水资源评价及合理开发利用勘查科研综合报告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河北省地质局水文地质四大队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1976</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较好的分析保定平原区地下水资源情况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5</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河北平原农田供水水文地质勘察</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河北省地质局</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1983</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对河北平原地下水开采条件进行了较详细勘察评价，工作精度1:10万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6</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河北省保定地区平原农田供水水文地质勘察总结报告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河北省地质局水文地质四大队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1990</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查明了全区水文地质条件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7</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保定市地下水资源评价报告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河北省环境水文地质总站保定监测站、地矿部水文地质工程地质技术方法研究所</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1991</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包含水源地区水文地质条件等基础情况资料。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8</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保定市环境地质工程地质综合勘查报告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河北省地质勘查局第四水文地质工程地质大队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1998</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着重研究了与人类活动有关的水文地质工程地质环境地质问题并做了相关评价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9</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华北平原（河北部分）地下水资源综合调查报告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河北省地质调查院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2003</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对河北平原地下水系统空间结构、地下水循环及地下水功能进行了研究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保定市水资源公报</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保定市水利局</w:t>
            </w:r>
          </w:p>
        </w:tc>
        <w:tc>
          <w:tcPr>
            <w:tcW w:w="870"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2015-2020年度水资源公报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11</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保定市一亩泉应急备用水源地改扩建项目水文地质勘查报告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华北地质勘查局五一九大队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2020</w:t>
            </w:r>
          </w:p>
        </w:tc>
        <w:tc>
          <w:tcPr>
            <w:tcW w:w="2130"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保定市一亩泉应急备用水源地改扩建项目水资源论证报告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河北隆源水务技术咨询有限公司</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2020</w:t>
            </w:r>
          </w:p>
        </w:tc>
        <w:tc>
          <w:tcPr>
            <w:tcW w:w="2130"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13</w:t>
            </w:r>
          </w:p>
        </w:tc>
        <w:tc>
          <w:tcPr>
            <w:tcW w:w="842" w:type="dxa"/>
            <w:vMerge w:val="restart"/>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地下水环境</w:t>
            </w: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保定市地下水污染调查报告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河北省地质局水文地质四大队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1975</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对保定市进行了地下水污染研究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14</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河北省保定市一亩泉水源地地下水卫生防护带圈定</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地矿部水文地质工程地质方法研究队、河北省保定环境水文地质监测站</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1986</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包含水源地水文地质条件、水质变化趋势分析等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保定市地下水水质评价及保护研究</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地矿部水文地质工程地质技术方法研究队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1987</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在完成环境水文地质调查的同时，开展了中细砂含水层水文地质参数研究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15</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河北省城乡居民生活饮用水水质调查报告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河北省地质环境监测总站</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1998</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对居民饮用水状况进行了调查评价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16</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保定市一亩泉饮用水水源地保护区划分</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河北省地质环境监测院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2015</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包含水源地区水文地质条件等基础情况资料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17</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京津冀协同发展（保定市平原区）地质环境保障调查评价</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河北省地矿局水文工程地质勘查院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2015</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包含水文地质、地下水特征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18</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深能保定西北郊电厂地下水环境专项报告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河北地质环境监测院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2016</w:t>
            </w:r>
          </w:p>
        </w:tc>
        <w:tc>
          <w:tcPr>
            <w:tcW w:w="2130" w:type="dxa"/>
            <w:shd w:val="clear" w:color="auto" w:fill="auto"/>
            <w:vAlign w:val="center"/>
          </w:tcPr>
          <w:p>
            <w:pPr>
              <w:widowControl/>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非首都功能疏解区1:5万环境地质调查</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中国地质调查局水文地质环境地质研究所</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2016-2018</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包含水源地区水文地质、工程地质和地下水环境状况评估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保定市一亩泉饮用水水源保护区水环境调查与评价项目</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中国科学院地理科学与资源研究所</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2019</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包含水源地区污染源调查、水土环境调查等工作。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21</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河北省地下水基础环境状况调查评估（白洋淀流域试点）报告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河北省水文工程地质勘查院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2020</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对白洋淀流域地下水基础环境状况开展了调查评估，包含地下水型集中供水水源地下水环境评估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22</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保定市竞秀区、满城区信息采集和风险筛查工作成果报告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河北省水文工程地质勘查院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2020</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隐患污染源资料分析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23</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供水总公司水质指标报表</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保定市供水总公司</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2021</w:t>
            </w:r>
          </w:p>
        </w:tc>
        <w:tc>
          <w:tcPr>
            <w:tcW w:w="2130"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24</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保定市国家地下水环境质量考核点整改与保护建议</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河北省地质环境监测院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2021</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对一亩泉国考点地下水环境及周边污染开展了详细调查，并分析了水质劣化原因、趋势。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12"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25</w:t>
            </w:r>
          </w:p>
        </w:tc>
        <w:tc>
          <w:tcPr>
            <w:tcW w:w="842" w:type="dxa"/>
            <w:vMerge w:val="continue"/>
            <w:shd w:val="clear" w:color="auto" w:fill="auto"/>
            <w:noWrap/>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保定市一亩泉地下水型集中式生活饮用水水源地地下水环境状况调查评估报告</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河北省地质环境监测院</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2021</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取得了大量的水文地质、地下水环境实测资料，发现了一亩泉水源地区地下水环境问题。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26</w:t>
            </w:r>
          </w:p>
        </w:tc>
        <w:tc>
          <w:tcPr>
            <w:tcW w:w="842" w:type="dxa"/>
            <w:vMerge w:val="restart"/>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研究、著作</w:t>
            </w: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河北省保定市环境水文地质图集</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地矿部水文地质工程地质技术方法研究队</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1986</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包括保定市环境水文地质条件基础资料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612"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27</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保定府河</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张立辉主编</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2014</w:t>
            </w:r>
          </w:p>
        </w:tc>
        <w:tc>
          <w:tcPr>
            <w:tcW w:w="213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包含一亩泉治理历史档案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12" w:type="dxa"/>
            <w:shd w:val="clear" w:color="auto" w:fill="auto"/>
            <w:noWrap/>
            <w:vAlign w:val="center"/>
          </w:tcPr>
          <w:p>
            <w:pPr>
              <w:widowControl/>
              <w:spacing w:line="240" w:lineRule="auto"/>
              <w:ind w:firstLine="0" w:firstLineChars="0"/>
              <w:jc w:val="center"/>
              <w:rPr>
                <w:rFonts w:ascii="宋体" w:hAnsi="宋体" w:cs="宋体"/>
                <w:color w:val="000000"/>
                <w:sz w:val="21"/>
                <w:szCs w:val="21"/>
              </w:rPr>
            </w:pPr>
            <w:r>
              <w:rPr>
                <w:rFonts w:hint="eastAsia" w:ascii="宋体" w:hAnsi="宋体" w:cs="宋体"/>
                <w:color w:val="000000"/>
                <w:sz w:val="21"/>
                <w:szCs w:val="21"/>
              </w:rPr>
              <w:t>28</w:t>
            </w:r>
          </w:p>
        </w:tc>
        <w:tc>
          <w:tcPr>
            <w:tcW w:w="842" w:type="dxa"/>
            <w:vMerge w:val="continue"/>
            <w:shd w:val="clear" w:color="auto" w:fill="auto"/>
            <w:vAlign w:val="center"/>
          </w:tcPr>
          <w:p>
            <w:pPr>
              <w:widowControl/>
              <w:spacing w:line="240" w:lineRule="auto"/>
              <w:ind w:firstLine="0" w:firstLineChars="0"/>
              <w:jc w:val="center"/>
              <w:rPr>
                <w:rFonts w:ascii="宋体" w:hAnsi="宋体" w:cs="宋体"/>
                <w:color w:val="000000"/>
                <w:sz w:val="21"/>
                <w:szCs w:val="21"/>
              </w:rPr>
            </w:pPr>
          </w:p>
        </w:tc>
        <w:tc>
          <w:tcPr>
            <w:tcW w:w="2301"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河北省保定市自然资源环境图集</w:t>
            </w:r>
          </w:p>
        </w:tc>
        <w:tc>
          <w:tcPr>
            <w:tcW w:w="1765"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河北省地质矿产勘查开发局</w:t>
            </w:r>
          </w:p>
        </w:tc>
        <w:tc>
          <w:tcPr>
            <w:tcW w:w="870" w:type="dxa"/>
            <w:shd w:val="clear" w:color="auto" w:fill="auto"/>
            <w:noWrap/>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2021</w:t>
            </w:r>
          </w:p>
        </w:tc>
        <w:tc>
          <w:tcPr>
            <w:tcW w:w="2130" w:type="dxa"/>
            <w:shd w:val="clear" w:color="auto" w:fill="auto"/>
            <w:vAlign w:val="center"/>
          </w:tcPr>
          <w:p>
            <w:pPr>
              <w:widowControl/>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包含地质、水文地质、水环境等基础资料</w:t>
            </w:r>
          </w:p>
        </w:tc>
      </w:tr>
    </w:tbl>
    <w:p>
      <w:pPr>
        <w:ind w:firstLine="0" w:firstLineChars="0"/>
        <w:jc w:val="center"/>
        <w:rPr>
          <w:b/>
          <w:bCs/>
          <w:sz w:val="24"/>
          <w:szCs w:val="24"/>
        </w:rPr>
      </w:pPr>
    </w:p>
    <w:p>
      <w:pPr>
        <w:ind w:firstLine="560"/>
      </w:pPr>
      <w:r>
        <w:rPr>
          <w:rFonts w:hint="eastAsia"/>
        </w:rPr>
        <w:t>近些年来，围绕一亩泉水源地开展的水文地质勘查工作基本查清了水源地保护区和补给区的水文地质基础条件，并作出了相应的水量模拟，虽目的不一或工作区域有差别，但对本次工作的开展具有重要的参考价值，能够为分析区域地下水补径排特征提供依据。在流域和一亩泉水源地开展的地下水环境调查以及污染调查工作，为查清一亩泉水源地保护区和补给区污染物特征、污染成因等提供重要依据。</w:t>
      </w:r>
    </w:p>
    <w:p>
      <w:pPr>
        <w:ind w:firstLine="560"/>
      </w:pPr>
      <w:r>
        <w:t>综上，前人</w:t>
      </w:r>
      <w:r>
        <w:rPr>
          <w:rFonts w:hint="eastAsia"/>
        </w:rPr>
        <w:t>在该地区进行了大量的工作，查明了地层结构、区域水文地质条件和环境地质背景条件，积累了丰富的地质资料和污染源资料，为本次项目的开展打下了良好的基础。</w:t>
      </w:r>
    </w:p>
    <w:p>
      <w:pPr>
        <w:pStyle w:val="5"/>
        <w:ind w:firstLine="602"/>
        <w:rPr>
          <w:b/>
          <w:bCs/>
        </w:rPr>
      </w:pPr>
      <w:bookmarkStart w:id="58" w:name="_Toc118098349"/>
      <w:r>
        <w:rPr>
          <w:rFonts w:hint="eastAsia"/>
          <w:b/>
          <w:bCs/>
        </w:rPr>
        <w:t>2.4 区域地下水开采利用现状情况</w:t>
      </w:r>
      <w:bookmarkEnd w:id="58"/>
    </w:p>
    <w:p>
      <w:pPr>
        <w:ind w:firstLine="560"/>
      </w:pPr>
      <w:r>
        <w:rPr>
          <w:rFonts w:hint="eastAsia"/>
        </w:rPr>
        <w:t>根据《保定市水资源公报》（2016-2020年），调查范围内保定市主城区、满城区、顺平县近5年用水量变化情况。由表可知2015-2020年各县区地下水开采总体呈下降趋势。</w:t>
      </w:r>
    </w:p>
    <w:p>
      <w:pPr>
        <w:pStyle w:val="2"/>
        <w:ind w:left="560" w:firstLine="560"/>
        <w:sectPr>
          <w:pgSz w:w="11906" w:h="16838"/>
          <w:pgMar w:top="1440" w:right="1800" w:bottom="1440" w:left="1800" w:header="851" w:footer="992" w:gutter="0"/>
          <w:cols w:space="425" w:num="1"/>
          <w:docGrid w:type="lines" w:linePitch="312" w:charSpace="0"/>
        </w:sectPr>
      </w:pPr>
    </w:p>
    <w:p>
      <w:pPr>
        <w:ind w:firstLine="0" w:firstLineChars="0"/>
        <w:jc w:val="center"/>
        <w:rPr>
          <w:rFonts w:ascii="黑体" w:hAnsi="黑体" w:eastAsia="黑体" w:cs="黑体"/>
          <w:sz w:val="21"/>
          <w:szCs w:val="21"/>
        </w:rPr>
      </w:pPr>
      <w:r>
        <w:rPr>
          <w:rFonts w:hint="eastAsia" w:ascii="黑体" w:hAnsi="黑体" w:eastAsia="黑体" w:cs="黑体"/>
          <w:sz w:val="21"/>
          <w:szCs w:val="21"/>
        </w:rPr>
        <w:t>表2-2  2015-2020年调查区所在区域用水量情况</w:t>
      </w:r>
    </w:p>
    <w:p>
      <w:pPr>
        <w:ind w:firstLine="0" w:firstLineChars="0"/>
        <w:jc w:val="right"/>
        <w:rPr>
          <w:sz w:val="21"/>
          <w:szCs w:val="21"/>
        </w:rPr>
      </w:pPr>
      <w:r>
        <w:rPr>
          <w:rFonts w:hint="eastAsia"/>
          <w:sz w:val="21"/>
          <w:szCs w:val="21"/>
        </w:rPr>
        <w:t>单位：万m3</w:t>
      </w:r>
    </w:p>
    <w:tbl>
      <w:tblPr>
        <w:tblStyle w:val="30"/>
        <w:tblW w:w="144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6"/>
        <w:gridCol w:w="631"/>
        <w:gridCol w:w="891"/>
        <w:gridCol w:w="846"/>
        <w:gridCol w:w="891"/>
        <w:gridCol w:w="1014"/>
        <w:gridCol w:w="856"/>
        <w:gridCol w:w="995"/>
        <w:gridCol w:w="995"/>
        <w:gridCol w:w="995"/>
        <w:gridCol w:w="847"/>
        <w:gridCol w:w="998"/>
        <w:gridCol w:w="891"/>
        <w:gridCol w:w="979"/>
        <w:gridCol w:w="1020"/>
        <w:gridCol w:w="1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jc w:val="center"/>
        </w:trPr>
        <w:tc>
          <w:tcPr>
            <w:tcW w:w="564" w:type="dxa"/>
            <w:vMerge w:val="restart"/>
            <w:shd w:val="clear" w:color="auto" w:fill="auto"/>
          </w:tcPr>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行政区名称</w:t>
            </w:r>
          </w:p>
        </w:tc>
        <w:tc>
          <w:tcPr>
            <w:tcW w:w="634" w:type="dxa"/>
            <w:vMerge w:val="restart"/>
            <w:shd w:val="clear" w:color="auto" w:fill="auto"/>
            <w:vAlign w:val="center"/>
          </w:tcPr>
          <w:p>
            <w:pPr>
              <w:widowControl/>
              <w:spacing w:line="240" w:lineRule="auto"/>
              <w:ind w:firstLine="0" w:firstLineChars="0"/>
              <w:jc w:val="center"/>
              <w:textAlignment w:val="center"/>
              <w:rPr>
                <w:rFonts w:cs="Times New Roman"/>
                <w:color w:val="000000"/>
                <w:sz w:val="18"/>
                <w:szCs w:val="18"/>
              </w:rPr>
            </w:pPr>
            <w:r>
              <w:rPr>
                <w:rFonts w:hint="eastAsia" w:ascii="宋体" w:hAnsi="宋体" w:cs="宋体"/>
                <w:color w:val="000000"/>
                <w:kern w:val="0"/>
                <w:sz w:val="18"/>
                <w:szCs w:val="18"/>
                <w:lang w:bidi="ar"/>
              </w:rPr>
              <w:t>年份</w:t>
            </w:r>
          </w:p>
        </w:tc>
        <w:tc>
          <w:tcPr>
            <w:tcW w:w="3596" w:type="dxa"/>
            <w:gridSpan w:val="4"/>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农业用水量</w:t>
            </w:r>
          </w:p>
        </w:tc>
        <w:tc>
          <w:tcPr>
            <w:tcW w:w="1863" w:type="dxa"/>
            <w:gridSpan w:val="2"/>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工业用水量</w:t>
            </w:r>
          </w:p>
        </w:tc>
        <w:tc>
          <w:tcPr>
            <w:tcW w:w="3871" w:type="dxa"/>
            <w:gridSpan w:val="4"/>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生活用水量</w:t>
            </w:r>
          </w:p>
        </w:tc>
        <w:tc>
          <w:tcPr>
            <w:tcW w:w="1867" w:type="dxa"/>
            <w:gridSpan w:val="2"/>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人工生态环境补水量</w:t>
            </w:r>
          </w:p>
        </w:tc>
        <w:tc>
          <w:tcPr>
            <w:tcW w:w="2042" w:type="dxa"/>
            <w:gridSpan w:val="2"/>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总用水量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8"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873"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农田灌溉用水量</w:t>
            </w:r>
          </w:p>
        </w:tc>
        <w:tc>
          <w:tcPr>
            <w:tcW w:w="829"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林牧渔畜用水量</w:t>
            </w:r>
          </w:p>
        </w:tc>
        <w:tc>
          <w:tcPr>
            <w:tcW w:w="873"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小计</w:t>
            </w:r>
          </w:p>
        </w:tc>
        <w:tc>
          <w:tcPr>
            <w:tcW w:w="1021"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其中地下水</w:t>
            </w:r>
          </w:p>
        </w:tc>
        <w:tc>
          <w:tcPr>
            <w:tcW w:w="857"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小计</w:t>
            </w:r>
          </w:p>
        </w:tc>
        <w:tc>
          <w:tcPr>
            <w:tcW w:w="1006"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其中地下水</w:t>
            </w:r>
          </w:p>
        </w:tc>
        <w:tc>
          <w:tcPr>
            <w:tcW w:w="1006"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城镇公共</w:t>
            </w:r>
          </w:p>
        </w:tc>
        <w:tc>
          <w:tcPr>
            <w:tcW w:w="1006"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居民生活</w:t>
            </w:r>
          </w:p>
        </w:tc>
        <w:tc>
          <w:tcPr>
            <w:tcW w:w="850"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小计</w:t>
            </w:r>
          </w:p>
        </w:tc>
        <w:tc>
          <w:tcPr>
            <w:tcW w:w="1009"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其中地下水</w:t>
            </w:r>
          </w:p>
        </w:tc>
        <w:tc>
          <w:tcPr>
            <w:tcW w:w="873"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小计</w:t>
            </w:r>
          </w:p>
        </w:tc>
        <w:tc>
          <w:tcPr>
            <w:tcW w:w="994"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其中地下水</w:t>
            </w:r>
          </w:p>
        </w:tc>
        <w:tc>
          <w:tcPr>
            <w:tcW w:w="1024"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合计</w:t>
            </w:r>
          </w:p>
        </w:tc>
        <w:tc>
          <w:tcPr>
            <w:tcW w:w="1018" w:type="dxa"/>
            <w:shd w:val="clear" w:color="auto" w:fill="auto"/>
          </w:tcPr>
          <w:p>
            <w:pPr>
              <w:widowControl/>
              <w:spacing w:line="240" w:lineRule="auto"/>
              <w:ind w:firstLine="0" w:firstLineChars="0"/>
              <w:jc w:val="center"/>
              <w:textAlignment w:val="top"/>
              <w:rPr>
                <w:rFonts w:ascii="宋体" w:hAnsi="宋体" w:cs="宋体"/>
                <w:color w:val="000000"/>
                <w:sz w:val="18"/>
                <w:szCs w:val="18"/>
              </w:rPr>
            </w:pPr>
            <w:r>
              <w:rPr>
                <w:rFonts w:hint="eastAsia" w:ascii="宋体" w:hAnsi="宋体" w:cs="宋体"/>
                <w:color w:val="000000"/>
                <w:kern w:val="0"/>
                <w:sz w:val="18"/>
                <w:szCs w:val="18"/>
                <w:lang w:bidi="ar"/>
              </w:rPr>
              <w:t>其中地下水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restart"/>
            <w:shd w:val="clear" w:color="auto" w:fill="auto"/>
            <w:vAlign w:val="center"/>
          </w:tcPr>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竞秀区、莲池区</w:t>
            </w: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2015</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4403.00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273.00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4676.00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4676.00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5431.00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976.00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2141.00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3569.00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5710.00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158.00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878.00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36.00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16695.00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5846.00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2016</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3103.00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303.00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3406.00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3406.00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5428.30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804.00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2040.00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3745.00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5785.00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115.00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7290.00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21909.00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4325.00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2017</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2911.00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300.00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3211.00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3211.00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2076.60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253.35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2349.50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5015.00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7364.50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496.30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10363.00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723.35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23015.00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4684.00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2018</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2950.10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189.90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3140.00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3140.00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2382.50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398.30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2584.20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4966.50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7550.70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1093.50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1299.10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14372.00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4631.80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2019</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2000.90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124.60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2125.50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2125.50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1848.00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275.10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2632.60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5044.40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7677.00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1134.00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2024.50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13675.00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3534.60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Fonts w:cs="Times New Roman"/>
                <w:color w:val="000000"/>
                <w:sz w:val="18"/>
                <w:szCs w:val="18"/>
              </w:rPr>
            </w:pPr>
            <w:r>
              <w:rPr>
                <w:rStyle w:val="78"/>
                <w:sz w:val="18"/>
                <w:szCs w:val="18"/>
                <w:lang w:bidi="ar"/>
              </w:rPr>
              <w:t>2020</w:t>
            </w: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1632.39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85.97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1718.35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1718.35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2218.98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221.15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1889.95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4556.09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6446.04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868.82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10237.00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20620.37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2812.32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564" w:type="dxa"/>
            <w:vMerge w:val="continue"/>
            <w:shd w:val="clear" w:color="auto" w:fill="auto"/>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平均</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2833.40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212.74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3046.14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3046.14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3230.90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487.98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2272.88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4482.66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6755.54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644.27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5348.60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126.56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18381.06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4305.62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restart"/>
            <w:shd w:val="clear" w:color="auto" w:fill="auto"/>
            <w:vAlign w:val="center"/>
          </w:tcPr>
          <w:p>
            <w:pPr>
              <w:widowControl/>
              <w:spacing w:line="240" w:lineRule="auto"/>
              <w:ind w:firstLine="0" w:firstLineChars="0"/>
              <w:jc w:val="center"/>
              <w:textAlignment w:val="center"/>
              <w:rPr>
                <w:rFonts w:cs="Times New Roman"/>
                <w:color w:val="000000"/>
                <w:sz w:val="18"/>
                <w:szCs w:val="18"/>
              </w:rPr>
            </w:pPr>
            <w:r>
              <w:rPr>
                <w:rFonts w:hint="eastAsia" w:ascii="宋体" w:hAnsi="宋体" w:cs="宋体"/>
                <w:color w:val="000000"/>
                <w:kern w:val="0"/>
                <w:sz w:val="18"/>
                <w:szCs w:val="18"/>
                <w:lang w:bidi="ar"/>
              </w:rPr>
              <w:t>满城区</w:t>
            </w: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2150</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6250.00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6250.00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6250.00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1250.00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1250.00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1000.00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1000.00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1000.00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8700.00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8700.00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2016</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5850.00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5850.00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5850.00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1250.00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1250.00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800.00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800.00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8100.00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8100.00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2017</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5735.00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5735.00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5735.00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1365.00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1205.00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300.00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450.00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750.00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750.00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8050.00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7690.00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2018</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5731.00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5731.00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5731.00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1324.00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761.00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788.00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794.00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497.00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51.00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22.00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7900.00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7011.00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2019</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5301.60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5301.60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5301.60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1590.80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832.80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784.00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790.00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511.00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51.00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7733.40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6645.40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Fonts w:cs="Times New Roman"/>
                <w:color w:val="000000"/>
                <w:sz w:val="18"/>
                <w:szCs w:val="18"/>
              </w:rPr>
            </w:pPr>
            <w:r>
              <w:rPr>
                <w:rStyle w:val="78"/>
                <w:sz w:val="18"/>
                <w:szCs w:val="18"/>
                <w:lang w:bidi="ar"/>
              </w:rPr>
              <w:t>2020</w:t>
            </w:r>
            <w:r>
              <w:rPr>
                <w:rFonts w:hint="eastAsia" w:ascii="宋体" w:hAnsi="宋体" w:cs="宋体"/>
                <w:color w:val="000000"/>
                <w:kern w:val="0"/>
                <w:sz w:val="18"/>
                <w:szCs w:val="18"/>
                <w:lang w:bidi="ar"/>
              </w:rPr>
              <w:t>年</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5388.02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0.00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5388.02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5316.34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1301.08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682.28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78.82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618.80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697.62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403.79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653.26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0.00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8039.98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6402.40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平均</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5709.27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5709.27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5697.32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1346.81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996.85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65.14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740.13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805.27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660.30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225.88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70.33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8087.23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7424.80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restart"/>
            <w:shd w:val="clear" w:color="auto" w:fill="auto"/>
            <w:vAlign w:val="center"/>
          </w:tcPr>
          <w:p>
            <w:pPr>
              <w:widowControl/>
              <w:spacing w:line="240" w:lineRule="auto"/>
              <w:ind w:firstLine="0" w:firstLineChars="0"/>
              <w:jc w:val="center"/>
              <w:textAlignment w:val="center"/>
              <w:rPr>
                <w:rFonts w:cs="Times New Roman"/>
                <w:color w:val="000000"/>
                <w:sz w:val="18"/>
                <w:szCs w:val="18"/>
              </w:rPr>
            </w:pPr>
            <w:r>
              <w:rPr>
                <w:rFonts w:hint="eastAsia" w:ascii="宋体" w:hAnsi="宋体" w:cs="宋体"/>
                <w:color w:val="000000"/>
                <w:kern w:val="0"/>
                <w:sz w:val="18"/>
                <w:szCs w:val="18"/>
                <w:lang w:bidi="ar"/>
              </w:rPr>
              <w:t>顺平县</w:t>
            </w: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2150</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9960.00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1865.00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11825.00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11825.00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235.00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235.00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584.00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586.00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586.00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12647.00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12647.00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2016</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10013.00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1864.00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11877.00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10929.00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586.00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591.00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591.00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12698.00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11750.00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2017</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9480.00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1876.00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11356.00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10310.00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249.00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249.00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591.00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591.00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591.00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350.00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12546.00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11150.00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2018</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9145.00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2100.00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11245.00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9579.00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251.00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251.00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160.00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600.00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760.00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600.00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613.00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12869.00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10430.00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Style w:val="77"/>
                <w:sz w:val="18"/>
                <w:szCs w:val="18"/>
                <w:lang w:bidi="ar"/>
              </w:rPr>
            </w:pPr>
            <w:r>
              <w:rPr>
                <w:rStyle w:val="77"/>
                <w:sz w:val="18"/>
                <w:szCs w:val="18"/>
                <w:lang w:bidi="ar"/>
              </w:rPr>
              <w:t>2019</w:t>
            </w:r>
          </w:p>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年</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8329.85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1765.00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10094.85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8487.60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258.00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256.40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185.27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621.00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806.27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621.00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2185.50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13345.00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9365.00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Fonts w:cs="Times New Roman"/>
                <w:color w:val="000000"/>
                <w:sz w:val="18"/>
                <w:szCs w:val="18"/>
              </w:rPr>
            </w:pPr>
            <w:r>
              <w:rPr>
                <w:rStyle w:val="78"/>
                <w:sz w:val="18"/>
                <w:szCs w:val="18"/>
                <w:lang w:bidi="ar"/>
              </w:rPr>
              <w:t>2020</w:t>
            </w:r>
            <w:r>
              <w:rPr>
                <w:rFonts w:hint="eastAsia" w:ascii="宋体" w:hAnsi="宋体" w:cs="宋体"/>
                <w:color w:val="000000"/>
                <w:kern w:val="0"/>
                <w:sz w:val="18"/>
                <w:szCs w:val="18"/>
                <w:lang w:bidi="ar"/>
              </w:rPr>
              <w:t>年</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6684.00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3103.00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9787.00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7637.00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173.48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131.61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36.83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622.02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658.85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470.27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746.80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0.00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11366.13 </w:t>
            </w:r>
          </w:p>
        </w:tc>
        <w:tc>
          <w:tcPr>
            <w:tcW w:w="0" w:type="auto"/>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 xml:space="preserve">8238.88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64" w:type="dxa"/>
            <w:vMerge w:val="continue"/>
            <w:shd w:val="clear" w:color="auto" w:fill="auto"/>
            <w:vAlign w:val="center"/>
          </w:tcPr>
          <w:p>
            <w:pPr>
              <w:widowControl/>
              <w:spacing w:line="240" w:lineRule="auto"/>
              <w:ind w:firstLine="0" w:firstLineChars="0"/>
              <w:jc w:val="center"/>
              <w:rPr>
                <w:rFonts w:cs="Times New Roman"/>
                <w:color w:val="000000"/>
                <w:sz w:val="18"/>
                <w:szCs w:val="18"/>
              </w:rPr>
            </w:pPr>
          </w:p>
        </w:tc>
        <w:tc>
          <w:tcPr>
            <w:tcW w:w="63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hint="eastAsia" w:ascii="宋体" w:hAnsi="宋体" w:cs="宋体"/>
                <w:color w:val="000000"/>
                <w:kern w:val="0"/>
                <w:sz w:val="18"/>
                <w:szCs w:val="18"/>
                <w:lang w:bidi="ar"/>
              </w:rPr>
              <w:t>平均</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8935.31 </w:t>
            </w:r>
          </w:p>
        </w:tc>
        <w:tc>
          <w:tcPr>
            <w:tcW w:w="82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2095.50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11030.81 </w:t>
            </w:r>
          </w:p>
        </w:tc>
        <w:tc>
          <w:tcPr>
            <w:tcW w:w="1021"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9794.60 </w:t>
            </w:r>
          </w:p>
        </w:tc>
        <w:tc>
          <w:tcPr>
            <w:tcW w:w="857"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232.75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225.50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64.85 </w:t>
            </w:r>
          </w:p>
        </w:tc>
        <w:tc>
          <w:tcPr>
            <w:tcW w:w="1006"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600.67 </w:t>
            </w:r>
          </w:p>
        </w:tc>
        <w:tc>
          <w:tcPr>
            <w:tcW w:w="850"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665.52 </w:t>
            </w:r>
          </w:p>
        </w:tc>
        <w:tc>
          <w:tcPr>
            <w:tcW w:w="1009"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576.55 </w:t>
            </w:r>
          </w:p>
        </w:tc>
        <w:tc>
          <w:tcPr>
            <w:tcW w:w="873"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649.22 </w:t>
            </w:r>
          </w:p>
        </w:tc>
        <w:tc>
          <w:tcPr>
            <w:tcW w:w="99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0.00 </w:t>
            </w:r>
          </w:p>
        </w:tc>
        <w:tc>
          <w:tcPr>
            <w:tcW w:w="1024"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12578.52 </w:t>
            </w:r>
          </w:p>
        </w:tc>
        <w:tc>
          <w:tcPr>
            <w:tcW w:w="1018" w:type="dxa"/>
            <w:shd w:val="clear" w:color="auto" w:fill="auto"/>
          </w:tcPr>
          <w:p>
            <w:pPr>
              <w:widowControl/>
              <w:spacing w:line="240" w:lineRule="auto"/>
              <w:ind w:firstLine="0" w:firstLineChars="0"/>
              <w:jc w:val="center"/>
              <w:textAlignment w:val="top"/>
              <w:rPr>
                <w:rFonts w:cs="Times New Roman"/>
                <w:color w:val="000000"/>
                <w:sz w:val="18"/>
                <w:szCs w:val="18"/>
              </w:rPr>
            </w:pPr>
            <w:r>
              <w:rPr>
                <w:rFonts w:cs="Times New Roman"/>
                <w:color w:val="000000"/>
                <w:kern w:val="0"/>
                <w:sz w:val="18"/>
                <w:szCs w:val="18"/>
                <w:lang w:bidi="ar"/>
              </w:rPr>
              <w:t xml:space="preserve">10596.81 </w:t>
            </w:r>
          </w:p>
        </w:tc>
      </w:tr>
    </w:tbl>
    <w:p>
      <w:pPr>
        <w:pStyle w:val="2"/>
        <w:ind w:left="560" w:firstLine="560"/>
      </w:pPr>
    </w:p>
    <w:p>
      <w:pPr>
        <w:ind w:firstLine="560"/>
        <w:sectPr>
          <w:pgSz w:w="16838" w:h="11906" w:orient="landscape"/>
          <w:pgMar w:top="1800" w:right="1440" w:bottom="1800" w:left="1440" w:header="851" w:footer="992" w:gutter="0"/>
          <w:cols w:space="425" w:num="1"/>
          <w:docGrid w:type="lines" w:linePitch="312" w:charSpace="0"/>
        </w:sectPr>
      </w:pPr>
    </w:p>
    <w:p>
      <w:pPr>
        <w:pStyle w:val="5"/>
        <w:ind w:firstLine="602"/>
        <w:rPr>
          <w:b/>
          <w:bCs/>
        </w:rPr>
      </w:pPr>
      <w:bookmarkStart w:id="59" w:name="_Toc118098350"/>
      <w:r>
        <w:rPr>
          <w:rFonts w:hint="eastAsia"/>
          <w:b/>
          <w:bCs/>
        </w:rPr>
        <w:t>2.5 一亩泉水源地开发利用情况</w:t>
      </w:r>
      <w:bookmarkEnd w:id="59"/>
    </w:p>
    <w:p>
      <w:pPr>
        <w:ind w:firstLine="560"/>
      </w:pPr>
      <w:r>
        <w:rPr>
          <w:rFonts w:hint="eastAsia"/>
        </w:rPr>
        <w:t>一亩泉水源地位于保定市西北郊与满城区接壤的一亩泉村—孙家塘村—郄庄村、东马村—中佃庄村、宋贾村—大贾村—宋村一带。井群范围南北长约10km，东西宽约3km，由1954年的第一眼井（604厂供水井，17＃），逐步发展到现在的5排，53眼井，涉及5个乡镇，14个自然村，点多线长，分布广泛。</w:t>
      </w:r>
    </w:p>
    <w:p>
      <w:pPr>
        <w:ind w:firstLine="560"/>
      </w:pPr>
      <w:r>
        <w:rPr>
          <w:rFonts w:hint="eastAsia"/>
        </w:rPr>
        <w:t>据《保定市一亩泉饮用水水源地保护区划分》（2015年）可知，调整后一亩泉水源地有35眼生产井，供水能力大致保持在15×10</w:t>
      </w:r>
      <w:r>
        <w:rPr>
          <w:rFonts w:hint="eastAsia"/>
          <w:vertAlign w:val="superscript"/>
        </w:rPr>
        <w:t>4</w:t>
      </w:r>
      <w:r>
        <w:rPr>
          <w:rFonts w:hint="eastAsia"/>
        </w:rPr>
        <w:t>m</w:t>
      </w:r>
      <w:r>
        <w:rPr>
          <w:rFonts w:hint="eastAsia"/>
          <w:vertAlign w:val="superscript"/>
        </w:rPr>
        <w:t>3</w:t>
      </w:r>
      <w:r>
        <w:rPr>
          <w:rFonts w:hint="eastAsia"/>
        </w:rPr>
        <w:t>/d左右。</w:t>
      </w:r>
    </w:p>
    <w:p>
      <w:pPr>
        <w:ind w:firstLine="560"/>
      </w:pPr>
      <w:r>
        <w:rPr>
          <w:rFonts w:hint="eastAsia"/>
        </w:rPr>
        <w:t>自2000年保定市第一地表水厂建成投入使用后，保定市供水结构发生变化，由地下水单一水源供水，改为以地表水为主，地下水为辅的双水源供水格局。保定市主城区用水主要由保定第一地表水厂供水（平均日供水17.5×10</w:t>
      </w:r>
      <w:r>
        <w:rPr>
          <w:rFonts w:hint="eastAsia"/>
          <w:vertAlign w:val="superscript"/>
        </w:rPr>
        <w:t>4</w:t>
      </w:r>
      <w:r>
        <w:rPr>
          <w:rFonts w:hint="eastAsia"/>
        </w:rPr>
        <w:t>m</w:t>
      </w:r>
      <w:r>
        <w:rPr>
          <w:rFonts w:hint="eastAsia"/>
          <w:vertAlign w:val="superscript"/>
        </w:rPr>
        <w:t>3</w:t>
      </w:r>
      <w:r>
        <w:rPr>
          <w:rFonts w:hint="eastAsia"/>
        </w:rPr>
        <w:t>)，缺口部分由一亩泉地下水补充，一亩泉供水量呈逐年下降趋势，日供水自2001年8.82×10</w:t>
      </w:r>
      <w:r>
        <w:rPr>
          <w:rFonts w:hint="eastAsia"/>
          <w:vertAlign w:val="superscript"/>
        </w:rPr>
        <w:t>4</w:t>
      </w:r>
      <w:r>
        <w:rPr>
          <w:rFonts w:hint="eastAsia"/>
        </w:rPr>
        <w:t>m</w:t>
      </w:r>
      <w:r>
        <w:rPr>
          <w:rFonts w:hint="eastAsia"/>
          <w:vertAlign w:val="superscript"/>
        </w:rPr>
        <w:t>3</w:t>
      </w:r>
      <w:r>
        <w:rPr>
          <w:rFonts w:hint="eastAsia"/>
        </w:rPr>
        <w:t>下降至2019年的2.59×10</w:t>
      </w:r>
      <w:r>
        <w:rPr>
          <w:rFonts w:hint="eastAsia"/>
          <w:vertAlign w:val="superscript"/>
        </w:rPr>
        <w:t>4</w:t>
      </w:r>
      <w:r>
        <w:rPr>
          <w:rFonts w:hint="eastAsia"/>
        </w:rPr>
        <w:t>m</w:t>
      </w:r>
      <w:r>
        <w:rPr>
          <w:rFonts w:hint="eastAsia"/>
          <w:vertAlign w:val="superscript"/>
        </w:rPr>
        <w:t>3</w:t>
      </w:r>
      <w:r>
        <w:rPr>
          <w:rFonts w:hint="eastAsia"/>
        </w:rPr>
        <w:t>。</w:t>
      </w:r>
    </w:p>
    <w:p>
      <w:pPr>
        <w:ind w:firstLine="560"/>
      </w:pPr>
      <w:r>
        <w:rPr>
          <w:rFonts w:hint="eastAsia"/>
        </w:rPr>
        <w:t>水源地开采规模大致可分为三个阶段：</w:t>
      </w:r>
    </w:p>
    <w:p>
      <w:pPr>
        <w:ind w:firstLine="560"/>
        <w:rPr>
          <w:szCs w:val="28"/>
        </w:rPr>
      </w:pPr>
      <w:r>
        <w:rPr>
          <w:rFonts w:hint="eastAsia"/>
          <w:szCs w:val="28"/>
        </w:rPr>
        <w:t>①开采量逐步增加阶段(1966-1979年），此阶段因保定市供水的需求，开采量逐步增加，由近2500×10</w:t>
      </w:r>
      <w:r>
        <w:rPr>
          <w:rFonts w:hint="eastAsia"/>
          <w:szCs w:val="28"/>
          <w:vertAlign w:val="superscript"/>
        </w:rPr>
        <w:t>4</w:t>
      </w:r>
      <w:r>
        <w:rPr>
          <w:rFonts w:hint="eastAsia"/>
          <w:szCs w:val="28"/>
        </w:rPr>
        <w:t>m</w:t>
      </w:r>
      <w:r>
        <w:rPr>
          <w:rFonts w:hint="eastAsia"/>
          <w:szCs w:val="28"/>
          <w:vertAlign w:val="superscript"/>
        </w:rPr>
        <w:t>3</w:t>
      </w:r>
      <w:r>
        <w:rPr>
          <w:rFonts w:hint="eastAsia"/>
          <w:szCs w:val="28"/>
        </w:rPr>
        <w:t>/a增加到5500×10</w:t>
      </w:r>
      <w:r>
        <w:rPr>
          <w:rFonts w:hint="eastAsia"/>
          <w:szCs w:val="28"/>
          <w:vertAlign w:val="superscript"/>
        </w:rPr>
        <w:t>4</w:t>
      </w:r>
      <w:r>
        <w:rPr>
          <w:rFonts w:hint="eastAsia"/>
          <w:szCs w:val="28"/>
        </w:rPr>
        <w:t>m</w:t>
      </w:r>
      <w:r>
        <w:rPr>
          <w:rFonts w:hint="eastAsia"/>
          <w:szCs w:val="28"/>
          <w:vertAlign w:val="superscript"/>
        </w:rPr>
        <w:t>3</w:t>
      </w:r>
      <w:r>
        <w:rPr>
          <w:rFonts w:hint="eastAsia"/>
          <w:szCs w:val="28"/>
        </w:rPr>
        <w:t>/a左右；②持续高峰阶段(1980-2000年），此阶段开采量保持在6000×10</w:t>
      </w:r>
      <w:r>
        <w:rPr>
          <w:rFonts w:hint="eastAsia"/>
          <w:szCs w:val="28"/>
          <w:vertAlign w:val="superscript"/>
        </w:rPr>
        <w:t>4</w:t>
      </w:r>
      <w:r>
        <w:rPr>
          <w:rFonts w:hint="eastAsia"/>
          <w:szCs w:val="28"/>
        </w:rPr>
        <w:t>m</w:t>
      </w:r>
      <w:r>
        <w:rPr>
          <w:rFonts w:hint="eastAsia"/>
          <w:szCs w:val="28"/>
          <w:vertAlign w:val="superscript"/>
        </w:rPr>
        <w:t>3</w:t>
      </w:r>
      <w:r>
        <w:rPr>
          <w:rFonts w:hint="eastAsia"/>
          <w:szCs w:val="28"/>
        </w:rPr>
        <w:t>/a左右，并出现历年最高开采量6564×10</w:t>
      </w:r>
      <w:r>
        <w:rPr>
          <w:rFonts w:hint="eastAsia"/>
          <w:szCs w:val="28"/>
          <w:vertAlign w:val="superscript"/>
        </w:rPr>
        <w:t>4</w:t>
      </w:r>
      <w:r>
        <w:rPr>
          <w:rFonts w:hint="eastAsia"/>
          <w:szCs w:val="28"/>
        </w:rPr>
        <w:t>m</w:t>
      </w:r>
      <w:r>
        <w:rPr>
          <w:rFonts w:hint="eastAsia"/>
          <w:szCs w:val="28"/>
          <w:vertAlign w:val="superscript"/>
        </w:rPr>
        <w:t>3</w:t>
      </w:r>
      <w:r>
        <w:rPr>
          <w:rFonts w:hint="eastAsia"/>
          <w:szCs w:val="28"/>
        </w:rPr>
        <w:t>/a(1984年）；③减少阶段，2000年引入西大洋水库作为城市供水主要水源后，水源地开采量逐渐减少，由2000年5177.70×10</w:t>
      </w:r>
      <w:r>
        <w:rPr>
          <w:rFonts w:hint="eastAsia"/>
          <w:szCs w:val="28"/>
          <w:vertAlign w:val="superscript"/>
        </w:rPr>
        <w:t>4</w:t>
      </w:r>
      <w:r>
        <w:rPr>
          <w:rFonts w:hint="eastAsia"/>
          <w:szCs w:val="28"/>
        </w:rPr>
        <w:t>m</w:t>
      </w:r>
      <w:r>
        <w:rPr>
          <w:rFonts w:hint="eastAsia"/>
          <w:szCs w:val="28"/>
          <w:vertAlign w:val="superscript"/>
        </w:rPr>
        <w:t>3</w:t>
      </w:r>
      <w:r>
        <w:rPr>
          <w:rFonts w:hint="eastAsia"/>
          <w:szCs w:val="28"/>
        </w:rPr>
        <w:t>/a减少到1000×10</w:t>
      </w:r>
      <w:r>
        <w:rPr>
          <w:rFonts w:hint="eastAsia"/>
          <w:szCs w:val="28"/>
          <w:vertAlign w:val="superscript"/>
        </w:rPr>
        <w:t>4</w:t>
      </w:r>
      <w:r>
        <w:rPr>
          <w:rFonts w:hint="eastAsia"/>
          <w:szCs w:val="28"/>
        </w:rPr>
        <w:t>m</w:t>
      </w:r>
      <w:r>
        <w:rPr>
          <w:rFonts w:hint="eastAsia"/>
          <w:szCs w:val="28"/>
          <w:vertAlign w:val="superscript"/>
        </w:rPr>
        <w:t>3</w:t>
      </w:r>
      <w:r>
        <w:rPr>
          <w:rFonts w:hint="eastAsia"/>
          <w:szCs w:val="28"/>
        </w:rPr>
        <w:t>/a左右。</w:t>
      </w:r>
    </w:p>
    <w:p>
      <w:pPr>
        <w:widowControl/>
        <w:ind w:firstLine="560"/>
        <w:jc w:val="left"/>
      </w:pPr>
      <w:r>
        <w:rPr>
          <w:rFonts w:ascii="CIDFont" w:hAnsi="CIDFont" w:eastAsia="CIDFont" w:cs="CIDFont"/>
          <w:color w:val="000000"/>
          <w:kern w:val="0"/>
          <w:szCs w:val="28"/>
          <w:lang w:bidi="ar"/>
        </w:rPr>
        <w:t>南水北调工程配套的第二地表水厂建成后</w:t>
      </w:r>
      <w:r>
        <w:rPr>
          <w:rFonts w:hint="eastAsia" w:ascii="CIDFont" w:hAnsi="CIDFont" w:eastAsia="CIDFont" w:cs="CIDFont"/>
          <w:color w:val="000000"/>
          <w:kern w:val="0"/>
          <w:szCs w:val="28"/>
          <w:lang w:bidi="ar"/>
        </w:rPr>
        <w:t>，</w:t>
      </w:r>
      <w:r>
        <w:rPr>
          <w:rFonts w:hint="eastAsia"/>
          <w:szCs w:val="28"/>
        </w:rPr>
        <w:t>保定市供水主要由南水北调供应，缺口不足部分由西大洋水库供应。一亩泉水源地为应急备用水源地。</w:t>
      </w:r>
    </w:p>
    <w:p>
      <w:pPr>
        <w:pStyle w:val="5"/>
        <w:ind w:firstLine="602"/>
        <w:rPr>
          <w:b/>
          <w:bCs/>
        </w:rPr>
      </w:pPr>
      <w:bookmarkStart w:id="60" w:name="_Toc118098351"/>
      <w:r>
        <w:rPr>
          <w:rFonts w:hint="eastAsia"/>
          <w:b/>
          <w:bCs/>
        </w:rPr>
        <w:t xml:space="preserve">2.5 </w:t>
      </w:r>
      <w:r>
        <w:rPr>
          <w:b/>
          <w:bCs/>
        </w:rPr>
        <w:t>一亩泉水源地降落漏斗区变化特征</w:t>
      </w:r>
      <w:bookmarkEnd w:id="60"/>
    </w:p>
    <w:p>
      <w:pPr>
        <w:ind w:firstLine="560"/>
        <w:rPr>
          <w:rFonts w:cs="Times New Roman"/>
          <w:szCs w:val="28"/>
        </w:rPr>
      </w:pPr>
      <w:r>
        <w:rPr>
          <w:rFonts w:cs="Times New Roman"/>
          <w:szCs w:val="28"/>
        </w:rPr>
        <w:t>一亩泉漏斗的形成是工农业强烈开采地下水共同影响的结果，且工业开采起主导作用。</w:t>
      </w:r>
    </w:p>
    <w:p>
      <w:pPr>
        <w:spacing w:line="324" w:lineRule="auto"/>
        <w:ind w:firstLine="560"/>
        <w:rPr>
          <w:rFonts w:cs="Times New Roman"/>
          <w:szCs w:val="28"/>
        </w:rPr>
      </w:pPr>
      <w:r>
        <w:rPr>
          <w:rFonts w:cs="Times New Roman"/>
          <w:szCs w:val="28"/>
        </w:rPr>
        <w:t>水源地建成之初，地下水基本处于天然状态，地下水自西北向东南径流。1965年以后，由于地下水过量开采，水位不断下降，1967年枯水期形成开采型水位降落漏斗，面积为32km</w:t>
      </w:r>
      <w:r>
        <w:rPr>
          <w:rFonts w:cs="Times New Roman"/>
          <w:szCs w:val="28"/>
          <w:vertAlign w:val="superscript"/>
        </w:rPr>
        <w:t>2</w:t>
      </w:r>
      <w:r>
        <w:rPr>
          <w:rFonts w:cs="Times New Roman"/>
          <w:szCs w:val="28"/>
        </w:rPr>
        <w:t>；到1985年枯水期漏斗面积扩展到182km</w:t>
      </w:r>
      <w:r>
        <w:rPr>
          <w:rFonts w:cs="Times New Roman"/>
          <w:szCs w:val="28"/>
          <w:vertAlign w:val="superscript"/>
        </w:rPr>
        <w:t>2</w:t>
      </w:r>
      <w:r>
        <w:rPr>
          <w:rFonts w:cs="Times New Roman"/>
          <w:szCs w:val="28"/>
        </w:rPr>
        <w:t>，漏斗中心水位埋深达22.65m，此时漏斗范围西部已达界河河谷，东部与保定市区降落漏斗相接，北部越过漕河，南部抵达南韩村镇、江城乡（大激店）一带。</w:t>
      </w:r>
    </w:p>
    <w:p>
      <w:pPr>
        <w:spacing w:line="324" w:lineRule="auto"/>
        <w:ind w:firstLine="560"/>
        <w:rPr>
          <w:rFonts w:cs="Times New Roman"/>
          <w:szCs w:val="28"/>
        </w:rPr>
      </w:pPr>
      <w:r>
        <w:rPr>
          <w:rFonts w:cs="Times New Roman"/>
          <w:szCs w:val="28"/>
        </w:rPr>
        <w:t>年内变化特征：该漏斗随区域水位升降而上下移动，但其形状和面积变化不大。</w:t>
      </w:r>
    </w:p>
    <w:p>
      <w:pPr>
        <w:ind w:firstLine="560"/>
        <w:jc w:val="left"/>
        <w:rPr>
          <w:rFonts w:ascii="CIDFont+F2" w:hAnsi="CIDFont+F2" w:eastAsia="CIDFont+F2"/>
          <w:sz w:val="30"/>
          <w:szCs w:val="24"/>
        </w:rPr>
      </w:pPr>
      <w:r>
        <w:rPr>
          <w:rFonts w:cs="Times New Roman"/>
          <w:szCs w:val="28"/>
        </w:rPr>
        <w:t>年际变化特征：1967~1975年为下降阶段，漏斗中心水位累计下降值逐年增大，到1975年水位累计下降11.56m；1976~1980年为回升阶段，漏斗中心水位累计下降值由11.56m缩小至7.3m；1981~2000为快速下降阶段，到1975年水位累计下降28.56m；2001~2013年为缓慢回升阶段；2014~2021年为快速回升阶段，受气候、水源置换、地下水压采等因素综合影响，地下水位逐渐回升，截止2022年4月底，一亩泉村周边平均水位埋深14.5m。</w:t>
      </w:r>
    </w:p>
    <w:p>
      <w:pPr>
        <w:ind w:firstLine="0" w:firstLineChars="0"/>
        <w:jc w:val="left"/>
        <w:rPr>
          <w:rFonts w:ascii="宋体" w:hAnsi="宋体"/>
          <w:szCs w:val="28"/>
        </w:rPr>
      </w:pPr>
      <w:r>
        <w:rPr>
          <w:rFonts w:ascii="宋体" w:hAnsi="宋体"/>
          <w:szCs w:val="28"/>
        </w:rPr>
        <w:drawing>
          <wp:inline distT="0" distB="0" distL="114300" distR="114300">
            <wp:extent cx="5271770" cy="3850640"/>
            <wp:effectExtent l="0" t="0" r="1270" b="5080"/>
            <wp:docPr id="25" name="图片 7" descr="漏斗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漏斗范围图"/>
                    <pic:cNvPicPr>
                      <a:picLocks noChangeAspect="1"/>
                    </pic:cNvPicPr>
                  </pic:nvPicPr>
                  <pic:blipFill>
                    <a:blip r:embed="rId29"/>
                    <a:stretch>
                      <a:fillRect/>
                    </a:stretch>
                  </pic:blipFill>
                  <pic:spPr>
                    <a:xfrm>
                      <a:off x="0" y="0"/>
                      <a:ext cx="5271770" cy="3850640"/>
                    </a:xfrm>
                    <a:prstGeom prst="rect">
                      <a:avLst/>
                    </a:prstGeom>
                    <a:noFill/>
                    <a:ln>
                      <a:noFill/>
                    </a:ln>
                  </pic:spPr>
                </pic:pic>
              </a:graphicData>
            </a:graphic>
          </wp:inline>
        </w:drawing>
      </w:r>
    </w:p>
    <w:p>
      <w:pPr>
        <w:ind w:firstLine="0" w:firstLineChars="0"/>
        <w:jc w:val="center"/>
        <w:rPr>
          <w:rFonts w:ascii="黑体" w:hAnsi="黑体" w:eastAsia="黑体" w:cs="黑体"/>
          <w:sz w:val="21"/>
          <w:szCs w:val="21"/>
        </w:rPr>
      </w:pPr>
      <w:r>
        <w:rPr>
          <w:rFonts w:hint="eastAsia" w:ascii="黑体" w:hAnsi="黑体" w:eastAsia="黑体" w:cs="黑体"/>
          <w:sz w:val="21"/>
          <w:szCs w:val="21"/>
        </w:rPr>
        <w:t>图2-8  一亩泉水源地区降落漏斗形态变化图</w:t>
      </w:r>
    </w:p>
    <w:p>
      <w:pPr>
        <w:pStyle w:val="5"/>
        <w:ind w:firstLine="602"/>
        <w:rPr>
          <w:b/>
          <w:bCs/>
        </w:rPr>
      </w:pPr>
      <w:bookmarkStart w:id="61" w:name="_Toc118098352"/>
      <w:r>
        <w:rPr>
          <w:rFonts w:hint="eastAsia"/>
          <w:b/>
          <w:bCs/>
        </w:rPr>
        <w:t>2.6 一亩泉水源地区水环境状况</w:t>
      </w:r>
      <w:bookmarkEnd w:id="61"/>
    </w:p>
    <w:p>
      <w:pPr>
        <w:ind w:firstLine="560"/>
      </w:pPr>
      <w:r>
        <w:rPr>
          <w:rFonts w:hint="eastAsia"/>
        </w:rPr>
        <w:t>上世纪50年，一亩泉水源地生产井总硬度为243.9mg/l；至1985年，总硬度上升至299.04mg/l，pH为7-8。</w:t>
      </w:r>
    </w:p>
    <w:p>
      <w:pPr>
        <w:ind w:firstLine="560"/>
      </w:pPr>
      <w:r>
        <w:rPr>
          <w:rFonts w:hint="eastAsia"/>
        </w:rPr>
        <w:t>据2019年满城区生态环境分局组织开展的“保定市一亩泉饮用水水源地保护区水环境调查与评价”项目，一亩泉水源地生产井中水质各项指标虽然均符合饮用水标准（2006版），但其中总硬度、硝酸盐呈持续上升态势（图2-9），且硝酸盐（以N计）含量已超过10mg/l，按照新版（2022版）饮用水标准，井水中硝酸盐含量将超标。而水源地保护区内，地下水中主要超标组分为总硬度和大肠杆菌。</w:t>
      </w:r>
    </w:p>
    <w:p>
      <w:pPr>
        <w:pStyle w:val="2"/>
        <w:ind w:left="0" w:leftChars="0" w:firstLine="0" w:firstLineChars="0"/>
        <w:jc w:val="center"/>
      </w:pPr>
      <w:r>
        <w:rPr>
          <w:rFonts w:hint="eastAsia"/>
        </w:rPr>
        <w:drawing>
          <wp:inline distT="0" distB="0" distL="114300" distR="114300">
            <wp:extent cx="5069840" cy="7011670"/>
            <wp:effectExtent l="0" t="0" r="5080" b="13970"/>
            <wp:docPr id="15" name="图片 15" descr="扫描全能王 2022-08-31 10.36.jpg"/>
            <wp:cNvGraphicFramePr/>
            <a:graphic xmlns:a="http://schemas.openxmlformats.org/drawingml/2006/main">
              <a:graphicData uri="http://schemas.openxmlformats.org/drawingml/2006/picture">
                <pic:pic xmlns:pic="http://schemas.openxmlformats.org/drawingml/2006/picture">
                  <pic:nvPicPr>
                    <pic:cNvPr id="15" name="图片 15" descr="扫描全能王 2022-08-31 10.36.jpg"/>
                    <pic:cNvPicPr/>
                  </pic:nvPicPr>
                  <pic:blipFill>
                    <a:blip r:embed="rId30"/>
                    <a:stretch>
                      <a:fillRect/>
                    </a:stretch>
                  </pic:blipFill>
                  <pic:spPr>
                    <a:xfrm>
                      <a:off x="0" y="0"/>
                      <a:ext cx="5069840" cy="7011670"/>
                    </a:xfrm>
                    <a:prstGeom prst="rect">
                      <a:avLst/>
                    </a:prstGeom>
                  </pic:spPr>
                </pic:pic>
              </a:graphicData>
            </a:graphic>
          </wp:inline>
        </w:drawing>
      </w:r>
    </w:p>
    <w:p>
      <w:pPr>
        <w:ind w:firstLine="0" w:firstLineChars="0"/>
        <w:jc w:val="center"/>
        <w:rPr>
          <w:rFonts w:ascii="黑体" w:hAnsi="黑体" w:eastAsia="黑体" w:cs="黑体"/>
          <w:sz w:val="21"/>
          <w:szCs w:val="21"/>
        </w:rPr>
      </w:pPr>
      <w:r>
        <w:rPr>
          <w:rFonts w:hint="eastAsia" w:ascii="黑体" w:hAnsi="黑体" w:eastAsia="黑体" w:cs="黑体"/>
          <w:sz w:val="21"/>
          <w:szCs w:val="21"/>
        </w:rPr>
        <w:t>图2-9 一亩泉水源地部分生产井硝酸盐（以N计）变化趋势</w:t>
      </w:r>
    </w:p>
    <w:p>
      <w:pPr>
        <w:ind w:firstLine="560"/>
      </w:pPr>
      <w:r>
        <w:rPr>
          <w:rFonts w:hint="eastAsia"/>
        </w:rPr>
        <w:t>据2021年，河北省生态环境厅组织开展的“保定市一亩泉地下水型集中式生活饮用水水源地地下水环境状况调查”报项目调查结果，一亩泉准保护区及二级保护区范围内总硬度、硝酸盐依然是超标率最高的指标，分别达到32.99%和7.23%。此外，锰、氯化物、亚硝酸盐、氨氮也存在不同程度超标，超标率分别为4.12%、3.09%、2.06%、2.06%（表2-3）。</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表2-3  2021年一亩泉水源地下水水质综合情况表</w:t>
      </w:r>
    </w:p>
    <w:p>
      <w:pPr>
        <w:ind w:firstLine="0" w:firstLineChars="0"/>
      </w:pPr>
      <w:r>
        <w:drawing>
          <wp:inline distT="0" distB="0" distL="114300" distR="114300">
            <wp:extent cx="5202555" cy="3536315"/>
            <wp:effectExtent l="0" t="0" r="9525" b="1460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31" cstate="print"/>
                    <a:srcRect l="3187" t="1865" r="3490" b="699"/>
                    <a:stretch>
                      <a:fillRect/>
                    </a:stretch>
                  </pic:blipFill>
                  <pic:spPr>
                    <a:xfrm>
                      <a:off x="0" y="0"/>
                      <a:ext cx="5202555" cy="3536315"/>
                    </a:xfrm>
                    <a:prstGeom prst="rect">
                      <a:avLst/>
                    </a:prstGeom>
                    <a:noFill/>
                    <a:ln w="9525">
                      <a:noFill/>
                    </a:ln>
                  </pic:spPr>
                </pic:pic>
              </a:graphicData>
            </a:graphic>
          </wp:inline>
        </w:drawing>
      </w:r>
    </w:p>
    <w:p>
      <w:pPr>
        <w:pStyle w:val="37"/>
        <w:ind w:firstLine="560"/>
        <w:rPr>
          <w:rFonts w:cs="Times New Roman"/>
          <w:sz w:val="28"/>
          <w:szCs w:val="28"/>
        </w:rPr>
      </w:pPr>
    </w:p>
    <w:p>
      <w:pPr>
        <w:pStyle w:val="5"/>
        <w:ind w:firstLine="602"/>
        <w:rPr>
          <w:b/>
          <w:bCs/>
        </w:rPr>
      </w:pPr>
      <w:bookmarkStart w:id="62" w:name="_Toc118098353"/>
      <w:r>
        <w:rPr>
          <w:rFonts w:hint="eastAsia"/>
          <w:b/>
          <w:bCs/>
        </w:rPr>
        <w:t>2.7 一亩泉水源地地下水环境监测情况</w:t>
      </w:r>
      <w:bookmarkEnd w:id="62"/>
    </w:p>
    <w:p>
      <w:pPr>
        <w:ind w:firstLine="560"/>
      </w:pPr>
      <w:r>
        <w:rPr>
          <w:rFonts w:hint="eastAsia"/>
        </w:rPr>
        <w:t>据不完全资料显示，一亩泉水源地区开展长期地下水环境监测情况如下：</w:t>
      </w:r>
    </w:p>
    <w:p>
      <w:pPr>
        <w:widowControl/>
        <w:ind w:firstLine="560"/>
        <w:jc w:val="left"/>
        <w:rPr>
          <w:rFonts w:cs="Times New Roman"/>
          <w:color w:val="000000"/>
          <w:kern w:val="0"/>
          <w:szCs w:val="28"/>
          <w:lang w:bidi="ar"/>
        </w:rPr>
      </w:pPr>
      <w:r>
        <w:rPr>
          <w:rFonts w:hint="eastAsia"/>
        </w:rPr>
        <w:t>（1）地下水环境国考点：一亩泉水源地区包括5处国考点，</w:t>
      </w:r>
      <w:r>
        <w:rPr>
          <w:rFonts w:hint="eastAsia" w:cs="Times New Roman"/>
          <w:color w:val="000000"/>
          <w:kern w:val="0"/>
          <w:szCs w:val="28"/>
          <w:lang w:bidi="ar"/>
        </w:rPr>
        <w:t>主要位于水源地二级保护区和准保护区，详细信息如表2-4所示。</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表2-4  国考点基本情况表</w:t>
      </w:r>
    </w:p>
    <w:tbl>
      <w:tblPr>
        <w:tblStyle w:val="30"/>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2540"/>
        <w:gridCol w:w="718"/>
        <w:gridCol w:w="1297"/>
        <w:gridCol w:w="2046"/>
        <w:gridCol w:w="8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编号</w:t>
            </w:r>
          </w:p>
        </w:tc>
        <w:tc>
          <w:tcPr>
            <w:tcW w:w="2540"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地点</w:t>
            </w:r>
          </w:p>
        </w:tc>
        <w:tc>
          <w:tcPr>
            <w:tcW w:w="718"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井深(m)</w:t>
            </w:r>
          </w:p>
        </w:tc>
        <w:tc>
          <w:tcPr>
            <w:tcW w:w="1297"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地下水类型</w:t>
            </w:r>
          </w:p>
        </w:tc>
        <w:tc>
          <w:tcPr>
            <w:tcW w:w="2046"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水文地质单元</w:t>
            </w:r>
          </w:p>
        </w:tc>
        <w:tc>
          <w:tcPr>
            <w:tcW w:w="814"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背景值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HE-14-76</w:t>
            </w:r>
          </w:p>
        </w:tc>
        <w:tc>
          <w:tcPr>
            <w:tcW w:w="2540"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竞秀区江城乡夏家庄村中心道路旁</w:t>
            </w:r>
          </w:p>
        </w:tc>
        <w:tc>
          <w:tcPr>
            <w:tcW w:w="718" w:type="dxa"/>
            <w:shd w:val="clear" w:color="auto" w:fill="auto"/>
            <w:noWrap/>
            <w:vAlign w:val="center"/>
          </w:tcPr>
          <w:p>
            <w:pPr>
              <w:widowControl/>
              <w:spacing w:line="240" w:lineRule="auto"/>
              <w:ind w:firstLine="0" w:firstLineChars="0"/>
              <w:jc w:val="right"/>
              <w:textAlignment w:val="center"/>
              <w:rPr>
                <w:rFonts w:ascii="宋体" w:hAnsi="宋体" w:cs="宋体"/>
                <w:color w:val="000000"/>
                <w:sz w:val="21"/>
                <w:szCs w:val="21"/>
              </w:rPr>
            </w:pPr>
            <w:r>
              <w:rPr>
                <w:rFonts w:hint="eastAsia" w:ascii="宋体" w:hAnsi="宋体" w:cs="宋体"/>
                <w:color w:val="000000"/>
                <w:kern w:val="0"/>
                <w:sz w:val="21"/>
                <w:szCs w:val="21"/>
                <w:lang w:bidi="ar"/>
              </w:rPr>
              <w:t>98.8</w:t>
            </w:r>
          </w:p>
        </w:tc>
        <w:tc>
          <w:tcPr>
            <w:tcW w:w="1297"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浅层潜水</w:t>
            </w:r>
          </w:p>
        </w:tc>
        <w:tc>
          <w:tcPr>
            <w:tcW w:w="2046"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大清河流域平原区</w:t>
            </w:r>
          </w:p>
        </w:tc>
        <w:tc>
          <w:tcPr>
            <w:tcW w:w="814"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HE-14-77</w:t>
            </w:r>
          </w:p>
        </w:tc>
        <w:tc>
          <w:tcPr>
            <w:tcW w:w="2540"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竞秀区保定监测院</w:t>
            </w:r>
          </w:p>
        </w:tc>
        <w:tc>
          <w:tcPr>
            <w:tcW w:w="718" w:type="dxa"/>
            <w:shd w:val="clear" w:color="auto" w:fill="auto"/>
            <w:noWrap/>
            <w:vAlign w:val="center"/>
          </w:tcPr>
          <w:p>
            <w:pPr>
              <w:widowControl/>
              <w:spacing w:line="240" w:lineRule="auto"/>
              <w:ind w:firstLine="0" w:firstLineChars="0"/>
              <w:jc w:val="right"/>
              <w:textAlignment w:val="center"/>
              <w:rPr>
                <w:rFonts w:ascii="宋体" w:hAnsi="宋体" w:cs="宋体"/>
                <w:color w:val="000000"/>
                <w:sz w:val="21"/>
                <w:szCs w:val="21"/>
              </w:rPr>
            </w:pPr>
            <w:r>
              <w:rPr>
                <w:rFonts w:hint="eastAsia" w:ascii="宋体" w:hAnsi="宋体" w:cs="宋体"/>
                <w:color w:val="000000"/>
                <w:kern w:val="0"/>
                <w:sz w:val="21"/>
                <w:szCs w:val="21"/>
                <w:lang w:bidi="ar"/>
              </w:rPr>
              <w:t>87</w:t>
            </w:r>
          </w:p>
        </w:tc>
        <w:tc>
          <w:tcPr>
            <w:tcW w:w="1297"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浅层潜水</w:t>
            </w:r>
          </w:p>
        </w:tc>
        <w:tc>
          <w:tcPr>
            <w:tcW w:w="2046"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大清河流域平原区</w:t>
            </w:r>
          </w:p>
        </w:tc>
        <w:tc>
          <w:tcPr>
            <w:tcW w:w="814"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HE-14-78</w:t>
            </w:r>
          </w:p>
        </w:tc>
        <w:tc>
          <w:tcPr>
            <w:tcW w:w="2540"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竞秀区南奇乡一亩泉村东果树林内</w:t>
            </w:r>
          </w:p>
        </w:tc>
        <w:tc>
          <w:tcPr>
            <w:tcW w:w="718" w:type="dxa"/>
            <w:shd w:val="clear" w:color="auto" w:fill="auto"/>
            <w:noWrap/>
            <w:vAlign w:val="center"/>
          </w:tcPr>
          <w:p>
            <w:pPr>
              <w:widowControl/>
              <w:spacing w:line="240" w:lineRule="auto"/>
              <w:ind w:firstLine="0" w:firstLineChars="0"/>
              <w:jc w:val="right"/>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297"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浅层潜水</w:t>
            </w:r>
          </w:p>
        </w:tc>
        <w:tc>
          <w:tcPr>
            <w:tcW w:w="2046"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大清河流域平原区</w:t>
            </w:r>
          </w:p>
        </w:tc>
        <w:tc>
          <w:tcPr>
            <w:tcW w:w="814"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HE-14-79</w:t>
            </w:r>
          </w:p>
        </w:tc>
        <w:tc>
          <w:tcPr>
            <w:tcW w:w="2540"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满城区大册营镇夜借村满城吉祥纸管厂后院</w:t>
            </w:r>
          </w:p>
        </w:tc>
        <w:tc>
          <w:tcPr>
            <w:tcW w:w="718" w:type="dxa"/>
            <w:shd w:val="clear" w:color="auto" w:fill="auto"/>
            <w:noWrap/>
            <w:vAlign w:val="center"/>
          </w:tcPr>
          <w:p>
            <w:pPr>
              <w:widowControl/>
              <w:spacing w:line="240" w:lineRule="auto"/>
              <w:ind w:firstLine="0" w:firstLineChars="0"/>
              <w:jc w:val="right"/>
              <w:textAlignment w:val="center"/>
              <w:rPr>
                <w:rFonts w:ascii="宋体" w:hAnsi="宋体" w:cs="宋体"/>
                <w:color w:val="000000"/>
                <w:sz w:val="21"/>
                <w:szCs w:val="21"/>
              </w:rPr>
            </w:pPr>
            <w:r>
              <w:rPr>
                <w:rFonts w:hint="eastAsia" w:ascii="宋体" w:hAnsi="宋体" w:cs="宋体"/>
                <w:color w:val="000000"/>
                <w:kern w:val="0"/>
                <w:sz w:val="21"/>
                <w:szCs w:val="21"/>
                <w:lang w:bidi="ar"/>
              </w:rPr>
              <w:t>65.9</w:t>
            </w:r>
          </w:p>
        </w:tc>
        <w:tc>
          <w:tcPr>
            <w:tcW w:w="1297"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浅层潜水</w:t>
            </w:r>
          </w:p>
        </w:tc>
        <w:tc>
          <w:tcPr>
            <w:tcW w:w="2046"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大清河流域平原区</w:t>
            </w:r>
          </w:p>
        </w:tc>
        <w:tc>
          <w:tcPr>
            <w:tcW w:w="814"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42"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HE-14-80</w:t>
            </w:r>
          </w:p>
        </w:tc>
        <w:tc>
          <w:tcPr>
            <w:tcW w:w="2540"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保定市江城乡南尹庄村西农田内</w:t>
            </w:r>
          </w:p>
        </w:tc>
        <w:tc>
          <w:tcPr>
            <w:tcW w:w="718" w:type="dxa"/>
            <w:shd w:val="clear" w:color="auto" w:fill="auto"/>
            <w:noWrap/>
            <w:vAlign w:val="center"/>
          </w:tcPr>
          <w:p>
            <w:pPr>
              <w:widowControl/>
              <w:spacing w:line="240" w:lineRule="auto"/>
              <w:ind w:firstLine="0" w:firstLineChars="0"/>
              <w:jc w:val="right"/>
              <w:textAlignment w:val="center"/>
              <w:rPr>
                <w:rFonts w:ascii="宋体" w:hAnsi="宋体" w:cs="宋体"/>
                <w:color w:val="000000"/>
                <w:sz w:val="21"/>
                <w:szCs w:val="21"/>
              </w:rPr>
            </w:pPr>
            <w:r>
              <w:rPr>
                <w:rFonts w:hint="eastAsia" w:ascii="宋体" w:hAnsi="宋体" w:cs="宋体"/>
                <w:color w:val="000000"/>
                <w:kern w:val="0"/>
                <w:sz w:val="21"/>
                <w:szCs w:val="21"/>
                <w:lang w:bidi="ar"/>
              </w:rPr>
              <w:t>93.9</w:t>
            </w:r>
          </w:p>
        </w:tc>
        <w:tc>
          <w:tcPr>
            <w:tcW w:w="1297"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浅层潜水</w:t>
            </w:r>
          </w:p>
        </w:tc>
        <w:tc>
          <w:tcPr>
            <w:tcW w:w="2046"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大清河流域平原区</w:t>
            </w:r>
          </w:p>
        </w:tc>
        <w:tc>
          <w:tcPr>
            <w:tcW w:w="814" w:type="dxa"/>
            <w:shd w:val="clear" w:color="auto" w:fill="auto"/>
            <w:noWrap/>
            <w:vAlign w:val="center"/>
          </w:tcPr>
          <w:p>
            <w:pPr>
              <w:widowControl/>
              <w:spacing w:line="240" w:lineRule="auto"/>
              <w:ind w:firstLine="0" w:firstLineChars="0"/>
              <w:jc w:val="left"/>
              <w:textAlignment w:val="center"/>
              <w:rPr>
                <w:rFonts w:ascii="宋体" w:hAnsi="宋体" w:cs="宋体"/>
                <w:color w:val="000000"/>
                <w:sz w:val="21"/>
                <w:szCs w:val="21"/>
              </w:rPr>
            </w:pPr>
            <w:r>
              <w:rPr>
                <w:rFonts w:hint="eastAsia" w:ascii="宋体" w:hAnsi="宋体" w:cs="宋体"/>
                <w:color w:val="000000"/>
                <w:kern w:val="0"/>
                <w:sz w:val="21"/>
                <w:szCs w:val="21"/>
                <w:lang w:bidi="ar"/>
              </w:rPr>
              <w:t>Ⅱ</w:t>
            </w:r>
          </w:p>
        </w:tc>
      </w:tr>
    </w:tbl>
    <w:p>
      <w:pPr>
        <w:widowControl/>
        <w:ind w:firstLine="420"/>
        <w:jc w:val="left"/>
        <w:rPr>
          <w:sz w:val="21"/>
          <w:szCs w:val="21"/>
        </w:rPr>
      </w:pPr>
      <w:r>
        <w:rPr>
          <w:rFonts w:hint="eastAsia"/>
          <w:sz w:val="21"/>
          <w:szCs w:val="21"/>
        </w:rPr>
        <w:t>注：以上信息来自保定市国家地下水环境质量考核点整改与保护建议成果报告</w:t>
      </w:r>
    </w:p>
    <w:p>
      <w:pPr>
        <w:widowControl/>
        <w:numPr>
          <w:ilvl w:val="0"/>
          <w:numId w:val="2"/>
        </w:numPr>
        <w:ind w:firstLine="560"/>
        <w:jc w:val="left"/>
      </w:pPr>
      <w:r>
        <w:rPr>
          <w:rFonts w:hint="eastAsia"/>
        </w:rPr>
        <w:t>城区水质监测点：在满城区东佃庄、保定市主城区西百楼分别有1眼地下水质监测井。</w:t>
      </w:r>
    </w:p>
    <w:p>
      <w:pPr>
        <w:widowControl/>
        <w:numPr>
          <w:ilvl w:val="0"/>
          <w:numId w:val="2"/>
        </w:numPr>
        <w:ind w:firstLine="560"/>
        <w:jc w:val="left"/>
      </w:pPr>
      <w:r>
        <w:rPr>
          <w:rFonts w:hint="eastAsia"/>
        </w:rPr>
        <w:t>水源地水质监测井。保定市供水总公司对一亩泉水源地开采井水质进行长期监测。每年进行8次水质监测（1、2、4、5、7、8、10、11月），主要检测项目参照《地下水质量标准》（GB/T14848）。</w:t>
      </w:r>
    </w:p>
    <w:p>
      <w:pPr>
        <w:pStyle w:val="2"/>
        <w:ind w:left="560" w:firstLine="560"/>
        <w:sectPr>
          <w:pgSz w:w="11906" w:h="16838"/>
          <w:pgMar w:top="1440" w:right="1800" w:bottom="1440" w:left="1800" w:header="851" w:footer="992" w:gutter="0"/>
          <w:cols w:space="425" w:num="1"/>
          <w:docGrid w:type="lines" w:linePitch="312" w:charSpace="0"/>
        </w:sectPr>
      </w:pPr>
    </w:p>
    <w:p>
      <w:pPr>
        <w:pStyle w:val="3"/>
      </w:pPr>
      <w:bookmarkStart w:id="63" w:name="_Toc118098354"/>
      <w:r>
        <w:rPr>
          <w:rFonts w:hint="eastAsia"/>
        </w:rPr>
        <w:t>第三章  问题诊断</w:t>
      </w:r>
      <w:bookmarkEnd w:id="63"/>
    </w:p>
    <w:p>
      <w:pPr>
        <w:ind w:firstLine="560"/>
      </w:pPr>
      <w:r>
        <w:rPr>
          <w:rFonts w:hint="eastAsia"/>
        </w:rPr>
        <w:t>水是人类生存和发展不可缺少的自然资源，饮用水源更是社会经济发展不可或缺的重要支撑因素之一。保定市一亩泉饮用水水源地足保定市城市供水水源地之一，位于保定市西郊与满城县交界一带，1956年开始作为市区地下水饮用水源，目前一亩泉水源地作为保定市应急供水水源，为饮用水安全提供了重要保障。但由于水源地大部分生产井使用时间较长，单井出水量衰减、水量不足，且随着经济发展，城市面积不断扩大，部分城区已经与水源地二级保护区重叠，导致水源地地下水环境逐年恶化，饮用水水质安全受到严重威胁。据已开展工作调查结果，水源地部分生产出现硝酸盐和总硬度超标情况，准保护区及二级保护区内部分监测点地下水氨氮、亚硝酸盐、氯化物、铬、硒、耗氧量等指标存在超标情况，另外在保护区内加油站、工厂等污染源附近已能检出苯类、石油烃类等有机污染物。总之，为保证一亩泉饮用水水源水质安全，迫切需要进一步开展一亩泉饮用水水源保护区地下水环境调查与评价工作。</w:t>
      </w:r>
    </w:p>
    <w:p>
      <w:pPr>
        <w:pStyle w:val="5"/>
        <w:ind w:firstLine="602"/>
        <w:rPr>
          <w:b/>
          <w:bCs/>
        </w:rPr>
      </w:pPr>
      <w:bookmarkStart w:id="64" w:name="_Toc93136230"/>
      <w:bookmarkStart w:id="65" w:name="_Toc118098355"/>
      <w:r>
        <w:rPr>
          <w:rFonts w:hint="eastAsia"/>
          <w:b/>
          <w:bCs/>
        </w:rPr>
        <w:t>3.1</w:t>
      </w:r>
      <w:bookmarkEnd w:id="64"/>
      <w:r>
        <w:rPr>
          <w:rFonts w:hint="eastAsia"/>
          <w:b/>
          <w:bCs/>
        </w:rPr>
        <w:t xml:space="preserve"> 以往工作发现的地下水环境状况问题</w:t>
      </w:r>
      <w:bookmarkEnd w:id="65"/>
    </w:p>
    <w:p>
      <w:pPr>
        <w:ind w:firstLine="560"/>
      </w:pPr>
      <w:r>
        <w:rPr>
          <w:rFonts w:hint="eastAsia"/>
        </w:rPr>
        <w:t>近年来，多家单位针对一亩泉水源地及保护区地下水环境开展了多次综合性调查，主要内容涉及水量、水质、污染源等，评价了一亩泉水源地及保护区地下水水质状况，及含水层防污性能，构建了区域地下水水量水质数字模型，预测了水源地地下水环境发展趋势，并提出相应的对策建议。与此同时，以往多次工作也存在着系统性不足、多次调查结果相互冲突、对水源地潜在污染物源头及迁移转化路径不清楚等问题。以下对以往工作成果进行详细论述。</w:t>
      </w:r>
    </w:p>
    <w:p>
      <w:pPr>
        <w:pStyle w:val="6"/>
        <w:spacing w:before="156" w:after="156"/>
        <w:ind w:firstLine="562"/>
      </w:pPr>
      <w:r>
        <w:rPr>
          <w:rFonts w:hint="eastAsia"/>
        </w:rPr>
        <w:t>3.1.1 2020年及以前</w:t>
      </w:r>
    </w:p>
    <w:p>
      <w:pPr>
        <w:ind w:firstLine="560"/>
      </w:pPr>
      <w:r>
        <w:rPr>
          <w:rFonts w:hint="eastAsia"/>
        </w:rPr>
        <w:t>上世纪50年，一亩泉水源地生产井总硬度为243.9mg/l；至1985年，总硬度上升至299.04mg/l，pH为7-8。</w:t>
      </w:r>
    </w:p>
    <w:p>
      <w:pPr>
        <w:ind w:firstLine="560"/>
      </w:pPr>
      <w:r>
        <w:rPr>
          <w:rFonts w:hint="eastAsia"/>
        </w:rPr>
        <w:t>2020年1-12月，河北省水文地质工程地质勘查院开展了“河北省地下水基础环境状况调查评估（白洋淀流域试点）”项目，针对白洋淀流域包括一亩泉水源地在内的多个集中式地下水型饮用水源地地下水质量进行了调查评价，采集地下水样品27组，取样深度25.18-298m，共检测包括一般化学指标、毒理指标、挥发半挥发有机物等指标64项。测试结果显示，一亩泉水源地准保护区满城抱阳村、顺平腰山镇海家庄村附近养殖场周边地下水存在硝酸盐超标现象（取样深度38.62-298m）。满城区抱阳村存在1,2二氯乙烷检出（取水层位248-298m），竞秀区南奇乡孙家塘村存在三氯甲烷、三氯乙烷检出。在满城韩家佐村和陶家佐村存在总大肠杆菌、总磷、总氮超标现象（取样深度25.18-150m）。此外，该项目还对水源地保护区范围内潜在污染源进行了核查，结果为一亩泉水源地二级保护区内存在石化企业（已关闭）1家，下游地下水检出三氯甲烷、三氯乙烯；加油站1家，经调查未泄露。准保护区内存在4家重点行业企业，其中1家关闭，3家在产，主要作业内容为镀锌、洗出加工冶炼、涂料制造等，下游及周边地下水未发现水质超标现象；3家规模化养殖场，下游及周边地下水存在硝酸盐、总大肠杆菌、总氮超标现象，报告认为该区地下水硝酸盐超标与附近养殖场存在强相关关系；3家加油站，经查未发生泄露。</w:t>
      </w:r>
    </w:p>
    <w:p>
      <w:pPr>
        <w:ind w:firstLine="560"/>
      </w:pPr>
      <w:r>
        <w:rPr>
          <w:rFonts w:hint="eastAsia"/>
        </w:rPr>
        <w:t>2020年1-6月，中国地质科学院地理科学与资源研究所在一亩泉水源地及保护区内开展了“保定市一亩泉饮用水水源地保护区水环境调查与评价”项目（地方财政项目，经费额度2</w:t>
      </w:r>
      <w:r>
        <w:t>63</w:t>
      </w:r>
      <w:r>
        <w:rPr>
          <w:rFonts w:hint="eastAsia"/>
        </w:rPr>
        <w:t>万），针对部分生产井出水量不足，水质恶化、城区扩张至水源内等问题，进行了调查研究，核查梳理了水源地及保护区内污染源。采集水源地保护区地下水样品33组，浅层水24组，深层水9组。测试指标包括无机物、有机物、微生物及感官指标39项。据测试结果分析得出结论：一亩泉水源地生产井中水质各项指标虽然均符合饮用水标准（2006版），但其中总硬度、硝酸盐呈持续上升态势（图3-2），且硝酸盐（以N计）含量已超过10mg/l，按照2023年4月1日起实施的新版（2022版）饮用水标准，井水中硝酸盐含量现已超标。而水源地保护区内，地下水中主要超标组分为总硬度和大肠杆菌，其中总硬度超标率6.25%，主要集中于浅层水中；大肠杆菌超标率37.5%，总菌落总数超标率75%，主要集中于浅层水中，但深层水中亦存在超标现象，占比约30%。此外，该项目还分农业用地和工业用地两类采集了土壤样品23组，测试指标主要包括部分重金属、有机物及硝态氮。测试结果显示，保护区北部农业用地存在锌超标情况，超标率8.7%，最大超标倍数1.64。该项目对一亩泉水源地地下水环境调查的最终结论为，部分生产井存在硝酸盐超标现象，面临较高受污染风险，水源地及保护区地下水水质受污染风险持续升高。</w:t>
      </w:r>
    </w:p>
    <w:p>
      <w:pPr>
        <w:spacing w:line="240" w:lineRule="auto"/>
        <w:ind w:firstLine="0" w:firstLineChars="0"/>
        <w:jc w:val="center"/>
      </w:pPr>
      <w:r>
        <w:rPr>
          <w:rFonts w:hint="eastAsia"/>
        </w:rPr>
        <w:drawing>
          <wp:inline distT="0" distB="0" distL="114300" distR="114300">
            <wp:extent cx="4160520" cy="5840730"/>
            <wp:effectExtent l="0" t="0" r="0" b="11430"/>
            <wp:docPr id="4" name="图片 4" descr="扫描全能王 2022-08-31 10.36.jpg"/>
            <wp:cNvGraphicFramePr/>
            <a:graphic xmlns:a="http://schemas.openxmlformats.org/drawingml/2006/main">
              <a:graphicData uri="http://schemas.openxmlformats.org/drawingml/2006/picture">
                <pic:pic xmlns:pic="http://schemas.openxmlformats.org/drawingml/2006/picture">
                  <pic:nvPicPr>
                    <pic:cNvPr id="4" name="图片 4" descr="扫描全能王 2022-08-31 10.36.jpg"/>
                    <pic:cNvPicPr/>
                  </pic:nvPicPr>
                  <pic:blipFill>
                    <a:blip r:embed="rId30"/>
                    <a:stretch>
                      <a:fillRect/>
                    </a:stretch>
                  </pic:blipFill>
                  <pic:spPr>
                    <a:xfrm>
                      <a:off x="0" y="0"/>
                      <a:ext cx="4160520" cy="5840730"/>
                    </a:xfrm>
                    <a:prstGeom prst="rect">
                      <a:avLst/>
                    </a:prstGeom>
                  </pic:spPr>
                </pic:pic>
              </a:graphicData>
            </a:graphic>
          </wp:inline>
        </w:drawing>
      </w:r>
    </w:p>
    <w:p>
      <w:pPr>
        <w:ind w:firstLine="0" w:firstLineChars="0"/>
        <w:jc w:val="center"/>
        <w:rPr>
          <w:rFonts w:ascii="黑体" w:hAnsi="黑体" w:eastAsia="黑体" w:cs="黑体"/>
          <w:sz w:val="21"/>
          <w:szCs w:val="21"/>
        </w:rPr>
      </w:pPr>
      <w:r>
        <w:rPr>
          <w:rFonts w:hint="eastAsia" w:ascii="黑体" w:hAnsi="黑体" w:eastAsia="黑体" w:cs="黑体"/>
          <w:sz w:val="21"/>
          <w:szCs w:val="21"/>
        </w:rPr>
        <w:t>图3-1 一亩泉水源地部分生产井硝酸盐（以N计）含量变化图</w:t>
      </w:r>
    </w:p>
    <w:p>
      <w:pPr>
        <w:pStyle w:val="6"/>
        <w:spacing w:before="156" w:after="156"/>
        <w:ind w:firstLine="562"/>
      </w:pPr>
      <w:r>
        <w:rPr>
          <w:rFonts w:hint="eastAsia"/>
        </w:rPr>
        <w:t>3.1.2 2021-2022年</w:t>
      </w:r>
    </w:p>
    <w:p>
      <w:pPr>
        <w:ind w:firstLine="560"/>
      </w:pPr>
      <w:r>
        <w:rPr>
          <w:rFonts w:hint="eastAsia"/>
        </w:rPr>
        <w:t>（1）保定市国家地下水环境质量考核的整改与保护建议（2021）</w:t>
      </w:r>
    </w:p>
    <w:p>
      <w:pPr>
        <w:ind w:firstLine="560"/>
      </w:pPr>
      <w:r>
        <w:rPr>
          <w:rFonts w:hint="eastAsia"/>
        </w:rPr>
        <w:t>2021年，针对区内5处国家级水环境考核点地下水环境状况开展调查评价。5处考核点均为地下水监测井，分布于一亩泉水源地保护区范围内，井深65.9-120m，2021年7月水位埋深15.6-19.8m。分析结果认为，考核点均为浅层地下水监测井，存在易受到周边污染物质由包气带垂向入渗进入地下水的致污风险和上游污染地下水的影响。考核点周边地下水铝含量普遍较高，是影响考核点地下水环境质量的主要组分。考核点地下水环境已一定程度受周边村庄污粪的排放、农业施肥等方面的影响，水质快速劣变的趋势较小，但硝酸盐长期积累，水质劣变仍有较大的风险。</w:t>
      </w:r>
    </w:p>
    <w:p>
      <w:pPr>
        <w:ind w:firstLine="560"/>
      </w:pPr>
      <w:r>
        <w:rPr>
          <w:rFonts w:hint="eastAsia"/>
        </w:rPr>
        <w:t>（2）“保定市一亩泉地下水型集中式生活饮用水水源地地下水环境状况调查评估”（2021年）</w:t>
      </w:r>
    </w:p>
    <w:p>
      <w:pPr>
        <w:ind w:firstLine="560"/>
      </w:pPr>
      <w:r>
        <w:rPr>
          <w:rFonts w:hint="eastAsia"/>
        </w:rPr>
        <w:t>2021年，为掌握地下水型饮用水源保护区、补给区地下水污染情况和污染源周边地下水水质情况，查明地下水环境质量和污染程度，研判地下水污染趋势，河北省地质环境监测院开展了“保定市一亩泉地下水型集中式生活饮用水水源地地下水环境状况调查评估”项目，针对一亩泉水源地及保护区地下水环境，进行了较为全面的调查评估。</w:t>
      </w:r>
    </w:p>
    <w:p>
      <w:pPr>
        <w:ind w:firstLine="560"/>
      </w:pPr>
      <w:r>
        <w:rPr>
          <w:rFonts w:hint="eastAsia"/>
        </w:rPr>
        <w:t>该项目工作区面积188平方公里，采用了资料收集、补充水文地质调查、水文地质钻探、地球物理勘探、渗水试验、水位统测、土壤和地下水样品采集、模拟计算等工作手段，对工作区地下水污染现状、发展趋势进行了评估和模拟预测，并对典型污染源进行土壤及地下水环境健康风险评估。</w:t>
      </w:r>
    </w:p>
    <w:p>
      <w:pPr>
        <w:ind w:firstLine="560"/>
      </w:pPr>
      <w:r>
        <w:rPr>
          <w:rFonts w:hint="eastAsia"/>
        </w:rPr>
        <w:t>该项目依据相关规范采集地下水样品117组，其中平行样10组，质控样10组，原样97组，取样深度50-350m。测试指标针对监测目标不同分为水源地开采井、水源地监测井、水源地重点工业污染源、水源地加油站、水源地农业污染源5类，监测指标涵盖了无机物、有机物、重金属、微生物及感官指标，且不同类别各有侧重，监测指标数量分别为101、78、39、50、37项。另外，沿地下水流流向在污染源下游，采集土壤样品66组，其中平行样11组，采集深度0.5-10m。测试指标包括重金属、挥发半挥发有机物等64项。</w:t>
      </w:r>
    </w:p>
    <w:p>
      <w:pPr>
        <w:ind w:firstLine="560"/>
      </w:pPr>
      <w:r>
        <w:rPr>
          <w:rFonts w:hint="eastAsia"/>
        </w:rPr>
        <w:t>测试结果表明，水源地地下水样品中，对比《地下水质量标准》（GB/T14848-2017）中III类指标和《生活饮用水卫生标准》(GB 5749)，超标指标10项，检出有机物指标11项。详见表3-1。</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表3-1 2021年一亩泉水源地下水水质综合情况表</w:t>
      </w:r>
    </w:p>
    <w:p>
      <w:pPr>
        <w:spacing w:line="240" w:lineRule="auto"/>
        <w:ind w:firstLine="0" w:firstLineChars="0"/>
        <w:jc w:val="center"/>
      </w:pPr>
      <w:r>
        <w:drawing>
          <wp:inline distT="0" distB="0" distL="0" distR="0">
            <wp:extent cx="4916805" cy="3342640"/>
            <wp:effectExtent l="0" t="0" r="571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922206" cy="3346378"/>
                    </a:xfrm>
                    <a:prstGeom prst="rect">
                      <a:avLst/>
                    </a:prstGeom>
                    <a:noFill/>
                  </pic:spPr>
                </pic:pic>
              </a:graphicData>
            </a:graphic>
          </wp:inline>
        </w:drawing>
      </w:r>
    </w:p>
    <w:p>
      <w:pPr>
        <w:ind w:firstLine="560"/>
      </w:pPr>
      <w:r>
        <w:rPr>
          <w:rFonts w:hint="eastAsia"/>
        </w:rPr>
        <w:t>涉及超标的因子共有10项，其中总硬度超标率32.99%、溶解性总固体超标率2.06%、六价铬超标率1.03%、耗氧量超标率1.03%、锰超标率4.12%、硒超标率1.03%、氨氮超标率2.06%、氯化物超标率3.09%、硝酸盐（以N计）超标率7.23%、亚硝酸盐（以N计）超标率2.06%。检出有机物指标11项，分别为苯、甲苯、乙苯、二甲苯（总量）、苯乙烯、顺-1,2-二氯乙烯、三氯乙烯、1,2-二氯乙烷、三氯甲烷、甲基叔丁基醚、石油烃（C6-C9）。</w:t>
      </w:r>
    </w:p>
    <w:p>
      <w:pPr>
        <w:ind w:firstLine="560"/>
      </w:pPr>
      <w:r>
        <w:rPr>
          <w:rFonts w:hint="eastAsia"/>
        </w:rPr>
        <w:t>按监测目标不同，超标因子各有差异，其中重点工业污染源监测井超标因子主要涉及总硬度、氨氮、氯化物、锰，分布于准保护区中南部的后屯村附近；加油站监测井超标因子主要为总硬度、硝酸盐、硒，分布于二级保护区中部的佃庄村南、中北部的东马村东—北奇村西一带，及准保护区西部的东于河村东南—韩家庄村一带；农业污染源监测井超标因子主要为总硬度、溶解性总固体、氯化物、硝酸盐（以N计）、亚硝酸盐（以N计）、锰、铬(六价)，分布于二级保护区中部的李堡村东南，准保护区东北部王各庄—两渔村一带、西部东于河村—永安庄—抱阳村一带及中部大贾村附近。水源地开采井因管道全封闭无法取样，故本次以距水源井最近的农灌井作为参照监测（最近距离95m），监测井（农灌井）共12个，涉及超标的监测井1个，位于二级保护区中北部一亩泉村东南，超标因子为总硬度；另外，水源地附近村落12饮水井样品中，3个涉及总硬度、硝酸盐、锰等超标，主要分布于准保护区东北部的小马坊村东北、西南两分庄附近。</w:t>
      </w:r>
    </w:p>
    <w:p>
      <w:pPr>
        <w:ind w:firstLine="560"/>
      </w:pPr>
      <w:r>
        <w:rPr>
          <w:rFonts w:hint="eastAsia"/>
        </w:rPr>
        <w:t>特征污染物有机指标检出情况为，地下水样品中存在有机物检出点位共22个，其中二级保护区检出12个，准保护区检出9个，准保护区外检出1个，检出有机物指标共11项。其中，二级保护区内检出监测井类型为污染源控制井（加油站）、区域监测井、饮用水井，主要分布于二级保护区东北部温屯村—一亩泉村—孙家塘村北一带，以及中南部大贾村东—郄庄村西一带，检出指标有苯、甲基叔丁基醚、石油烃（C</w:t>
      </w:r>
      <w:r>
        <w:rPr>
          <w:rFonts w:hint="eastAsia"/>
          <w:vertAlign w:val="subscript"/>
        </w:rPr>
        <w:t>6</w:t>
      </w:r>
      <w:r>
        <w:rPr>
          <w:rFonts w:hint="eastAsia"/>
        </w:rPr>
        <w:t>-C</w:t>
      </w:r>
      <w:r>
        <w:rPr>
          <w:rFonts w:hint="eastAsia"/>
          <w:vertAlign w:val="subscript"/>
        </w:rPr>
        <w:t>9</w:t>
      </w:r>
      <w:r>
        <w:rPr>
          <w:rFonts w:hint="eastAsia"/>
        </w:rPr>
        <w:t>）、三氯甲烷、三氯乙烯、1,2-二氯乙烷、顺-1,2-二氯乙烯；准保护区内检出监测井类型为污染源控制井（工业企业、加油站）、区域监测井、饮用水井，分布于准保护区东北部贾庄村—小马坊一带、北西部韩家庄村附近及东南部石家庄村村南附近，检出指标有三氯甲烷、苯乙烯、苯、甲苯、乙苯、二甲苯（总量）、1,2-二氯乙烷、甲基叔丁基醚、石油烃（C</w:t>
      </w:r>
      <w:r>
        <w:rPr>
          <w:rFonts w:hint="eastAsia"/>
          <w:vertAlign w:val="subscript"/>
        </w:rPr>
        <w:t>6</w:t>
      </w:r>
      <w:r>
        <w:rPr>
          <w:rFonts w:hint="eastAsia"/>
        </w:rPr>
        <w:t>-C</w:t>
      </w:r>
      <w:r>
        <w:rPr>
          <w:rFonts w:hint="eastAsia"/>
          <w:vertAlign w:val="subscript"/>
        </w:rPr>
        <w:t>9</w:t>
      </w:r>
      <w:r>
        <w:rPr>
          <w:rFonts w:hint="eastAsia"/>
        </w:rPr>
        <w:t>）。</w:t>
      </w:r>
    </w:p>
    <w:p>
      <w:pPr>
        <w:ind w:firstLine="560"/>
      </w:pPr>
      <w:r>
        <w:rPr>
          <w:rFonts w:hint="eastAsia"/>
        </w:rPr>
        <w:t>据水源地及保护区地下水质量评价解雇显示，地下水质量为Ⅲ类水样品数量为54个，占比55.67％；Ⅱ类水样品数量为9个，占比9.28%；Ⅳ类水样品数量为23个，占比23.71%；Ⅴ类水样品数量为11个，占比11.34%，Ⅳ类和Ⅴ类水样总占比35.05%，超过三分之一。主要涉及的超标因子为总硬度、硝酸盐、亚硝酸盐、氨氮、铬(六价)、溶解性总固体、硒、氯化物、锰，分布区域主要在水源地保护区北部。</w:t>
      </w:r>
    </w:p>
    <w:p>
      <w:pPr>
        <w:ind w:firstLine="560"/>
      </w:pPr>
      <w:r>
        <w:rPr>
          <w:rFonts w:hint="eastAsia"/>
        </w:rPr>
        <w:t>据水源地及保护区地下水污染现状评价结果显示，二级保护区内有3.09%、</w:t>
      </w:r>
      <w:r>
        <w:t>1.03%</w:t>
      </w:r>
      <w:r>
        <w:rPr>
          <w:rFonts w:hint="eastAsia"/>
        </w:rPr>
        <w:t xml:space="preserve">、 </w:t>
      </w:r>
      <w:r>
        <w:t>1.03%</w:t>
      </w:r>
      <w:r>
        <w:rPr>
          <w:rFonts w:hint="eastAsia"/>
        </w:rPr>
        <w:t>的地下水分别受到硝酸盐、硒、铬（六价）的轻度污染，</w:t>
      </w:r>
      <w:r>
        <w:t>2.06%</w:t>
      </w:r>
      <w:r>
        <w:rPr>
          <w:rFonts w:hint="eastAsia"/>
        </w:rPr>
        <w:t>的地下水受到亚硝酸盐的严重污染；准保护区内</w:t>
      </w:r>
      <w:r>
        <w:t>4.21%</w:t>
      </w:r>
      <w:r>
        <w:rPr>
          <w:rFonts w:hint="eastAsia"/>
        </w:rPr>
        <w:t>的地下水受到锰的轻度污染。</w:t>
      </w:r>
    </w:p>
    <w:p>
      <w:pPr>
        <w:ind w:firstLine="560"/>
      </w:pPr>
      <w:r>
        <w:rPr>
          <w:rFonts w:hint="eastAsia"/>
        </w:rPr>
        <w:t>该项目调查结果认为，调查区内水质存在总硬度、溶解性总固体、氨氮、氯化物、耗氧量、硝酸盐（以N计）、亚硝酸盐、锰、硒、铬(六价)等污染物超标，主要受人类生活、工农业生产等活动影响，使得区域地下水环境逐渐恶化，水质逐年变差，饮水安全受威胁程度逐年升高。</w:t>
      </w:r>
    </w:p>
    <w:p>
      <w:pPr>
        <w:ind w:firstLine="560"/>
      </w:pPr>
      <w:r>
        <w:rPr>
          <w:rFonts w:hint="eastAsia"/>
        </w:rPr>
        <w:t>（3）其他工作</w:t>
      </w:r>
    </w:p>
    <w:p>
      <w:pPr>
        <w:ind w:firstLine="560"/>
      </w:pPr>
      <w:r>
        <w:rPr>
          <w:rFonts w:hint="eastAsia"/>
        </w:rPr>
        <w:t>为进一步了解一亩泉水源地地下水水质状况，保定市生态环境局于2022年7月-8月在一亩泉水源地及保护区范围内开展核查性工作。以2021年初调项目发现污染的地下水环境监测点为基础，在其中14处污染严重的地下水环境监测点周边1km范围选取农灌井开展地下水水质监测工作，共采集地下水样品46组，测试指标包括pH、溶解性总固体、氯化物、硫酸盐、硝酸盐、亚硝酸盐、氨氮、耗氧量、钠、锰、六价铬、硒、钾、钙、镁、碳酸盐、重碳酸盐等共17项。结果显示：总硬度、硝酸盐为区内主要超标组分，超标率分别为28.3%和56.5%，主要分布于水源地二级保护区北部一亩泉村附近，及准保护区西部永安-抱阳一带；此外，亚硝酸盐、氨氮、耗氧量也存在不同程度超标，超标率分别为2.2%、4.4%、2.2%，主要分布于准保护区南部南辛庄-梁贾村，及谢庄北一带。</w:t>
      </w:r>
    </w:p>
    <w:p>
      <w:pPr>
        <w:ind w:firstLine="560"/>
      </w:pPr>
      <w:r>
        <w:rPr>
          <w:rFonts w:hint="eastAsia"/>
        </w:rPr>
        <w:t>综上，一亩泉水源地及保护区范围内地下水环境正在持续恶化，地下水质量持续变差，饮水安全面临的潜在风险正持续累积上升，主要超标因子和污染物为总硬度和硝酸盐，已呈面状分布，并存在范围持续扩大的可能；亚硝酸盐、氨氮、耗氧量、氯化物、锰、硒、铬(六价)、部分有机物等多呈点状分布，但存在范围扩大风险。上述超标因子或污染物与区内人类生活及工农业生产活动密切相关，是其在地下水中累积的主要源头。</w:t>
      </w:r>
    </w:p>
    <w:p>
      <w:pPr>
        <w:pStyle w:val="5"/>
        <w:ind w:firstLine="602"/>
        <w:rPr>
          <w:b/>
          <w:bCs/>
        </w:rPr>
      </w:pPr>
      <w:bookmarkStart w:id="66" w:name="_Toc118098356"/>
      <w:r>
        <w:rPr>
          <w:rFonts w:hint="eastAsia"/>
          <w:b/>
          <w:bCs/>
        </w:rPr>
        <w:t>3.2 问题诊断与分析</w:t>
      </w:r>
      <w:bookmarkEnd w:id="66"/>
    </w:p>
    <w:p>
      <w:pPr>
        <w:pStyle w:val="6"/>
        <w:spacing w:before="156" w:after="156"/>
        <w:ind w:firstLine="562"/>
      </w:pPr>
      <w:r>
        <w:rPr>
          <w:rFonts w:hint="eastAsia"/>
        </w:rPr>
        <w:t>3</w:t>
      </w:r>
      <w:r>
        <w:t xml:space="preserve">.2.1 </w:t>
      </w:r>
      <w:r>
        <w:rPr>
          <w:rFonts w:hint="eastAsia"/>
        </w:rPr>
        <w:t>一亩泉水源地地下水环境存在问题诊断</w:t>
      </w:r>
    </w:p>
    <w:p>
      <w:pPr>
        <w:ind w:firstLine="560"/>
      </w:pPr>
      <w:r>
        <w:rPr>
          <w:rFonts w:hint="eastAsia"/>
        </w:rPr>
        <w:t>根据3</w:t>
      </w:r>
      <w:r>
        <w:t>.1</w:t>
      </w:r>
      <w:r>
        <w:rPr>
          <w:rFonts w:hint="eastAsia"/>
        </w:rPr>
        <w:t>节内容，可知以往工作中《保定市一亩泉地下水型集中式生活饮用水水源地地下水环境状况调查评估》（2</w:t>
      </w:r>
      <w:r>
        <w:t>021</w:t>
      </w:r>
      <w:r>
        <w:rPr>
          <w:rFonts w:hint="eastAsia"/>
        </w:rPr>
        <w:t>年）项目工作对一亩泉水源地地下水环境状况开展的最为详实，该项目主要工作目的是“通过开展保定市一亩泉地下水型集中式生活饮用水水源地地下水环境状况调查评估项目，摸清水源地地下水基础环境现状、水文地质条件并开展重点污染源地下水调查评价，补充和完善地下水环境监测网络，以保障地下水型饮用水源环境安全，严控地下水污染源，实现地下水资源可持续利用，切实提升地下水污染防治水平。”该项目通过近半年的工作，基本查清了一亩泉水源地区的污染源分布、地下水环境现状、对地下水问题成因进行分析，推断锰、铬(六价)、硒、氯化物、氨氮、亚硝酸盐、硝酸盐、总硬度等污染因子可能的污染源，并对重点污染源开展了健康风险评估和数值模拟，提出污染源管控和详细调查工作建议。</w:t>
      </w:r>
    </w:p>
    <w:p>
      <w:pPr>
        <w:ind w:firstLine="560"/>
      </w:pPr>
      <w:r>
        <w:rPr>
          <w:rFonts w:hint="eastAsia"/>
        </w:rPr>
        <w:t>根据上述工作取得的成果，并结合</w:t>
      </w:r>
      <w:r>
        <w:t>水源地、</w:t>
      </w:r>
      <w:r>
        <w:rPr>
          <w:rFonts w:hint="eastAsia"/>
        </w:rPr>
        <w:t>国</w:t>
      </w:r>
      <w:r>
        <w:t>控监测井地下水污染现状分析</w:t>
      </w:r>
      <w:r>
        <w:rPr>
          <w:rFonts w:hint="eastAsia"/>
        </w:rPr>
        <w:t>，总体来看，一亩泉水源地</w:t>
      </w:r>
      <w:r>
        <w:t>地下水</w:t>
      </w:r>
      <w:r>
        <w:rPr>
          <w:rFonts w:hint="eastAsia"/>
        </w:rPr>
        <w:t>环境状况面临如下问题：</w:t>
      </w:r>
    </w:p>
    <w:p>
      <w:pPr>
        <w:numPr>
          <w:ilvl w:val="255"/>
          <w:numId w:val="0"/>
        </w:numPr>
        <w:ind w:firstLine="560" w:firstLineChars="200"/>
      </w:pPr>
      <w:r>
        <w:rPr>
          <w:rFonts w:hint="eastAsia"/>
        </w:rPr>
        <w:t>（1）水源开采井硝酸盐和总硬度指标持续劣化，部分区域井孔水质已不符合饮用水水质要求；</w:t>
      </w:r>
    </w:p>
    <w:p>
      <w:pPr>
        <w:numPr>
          <w:ilvl w:val="255"/>
          <w:numId w:val="0"/>
        </w:numPr>
        <w:ind w:firstLine="560" w:firstLineChars="200"/>
      </w:pPr>
      <w:r>
        <w:rPr>
          <w:rFonts w:hint="eastAsia"/>
        </w:rPr>
        <w:t>（2）二级保护区和准保护区内地下水环境状况持续恶化，水质指标超标以散点分布为主，部分区域有连片污染趋势；</w:t>
      </w:r>
    </w:p>
    <w:p>
      <w:pPr>
        <w:numPr>
          <w:ilvl w:val="255"/>
          <w:numId w:val="0"/>
        </w:numPr>
        <w:ind w:firstLine="560" w:firstLineChars="200"/>
      </w:pPr>
      <w:r>
        <w:rPr>
          <w:rFonts w:hint="eastAsia"/>
        </w:rPr>
        <w:t>（3）工作区地下水普遍存在锰、铬(六价)、硒、氯化物、氨氮、亚硝酸盐、硝酸盐、总硬度等单一或多指标超标现象，污染风险因子呈现多样化、复杂化发展趋势，部分区域有机污染指标健康风险不可接受；</w:t>
      </w:r>
    </w:p>
    <w:p>
      <w:pPr>
        <w:numPr>
          <w:ilvl w:val="255"/>
          <w:numId w:val="0"/>
        </w:numPr>
        <w:ind w:firstLine="560" w:firstLineChars="200"/>
      </w:pPr>
      <w:r>
        <w:rPr>
          <w:rFonts w:hint="eastAsia"/>
        </w:rPr>
        <w:t>（4）</w:t>
      </w:r>
      <w:r>
        <w:t>缺乏针对污染源和水源地的</w:t>
      </w:r>
      <w:r>
        <w:rPr>
          <w:rFonts w:hint="eastAsia"/>
        </w:rPr>
        <w:t>长期</w:t>
      </w:r>
      <w:r>
        <w:t>监测工作，</w:t>
      </w:r>
      <w:r>
        <w:rPr>
          <w:rFonts w:hint="eastAsia"/>
        </w:rPr>
        <w:t>对于污染源的确定多以推断为主，对地下水环境状况的评价仍仅针对地下水环境监测点，对污染范围圈定较为笼统，对于污染程度、成因、途径等均不明确</w:t>
      </w:r>
      <w:r>
        <w:t>。</w:t>
      </w:r>
    </w:p>
    <w:p>
      <w:pPr>
        <w:ind w:firstLine="560"/>
      </w:pPr>
      <w:r>
        <w:rPr>
          <w:rFonts w:hint="eastAsia"/>
        </w:rPr>
        <w:t>从上述问题分析不难发现，尽管围绕一亩泉水源地已经开展了多次地下水环境状况相关的调查工作，但对水源地面临的污染问题仍然只能定性描述，而未对污染源在哪里以及污染程度、污染空间分布等做出明确判断，综合分析认为，主要是以往项目工作在部分方面仍存在不足或需要进行补充工作，主要表现如下：</w:t>
      </w:r>
    </w:p>
    <w:p>
      <w:pPr>
        <w:ind w:firstLine="560"/>
      </w:pPr>
      <w:r>
        <w:rPr>
          <w:rFonts w:hint="eastAsia"/>
        </w:rPr>
        <w:t>（1）前期工作以调查为主，主要成果为样品测试数据的统计学结果，以及超标组份的平面空间分布规律，未将上述结果与区域含水层结构、地下水补给径流排泄条件、降水及地表水入渗、污染源类型及空间分布等因素有机结合，导致对工作区污染物来源、迁移转化过程、在含水层中的累积扩散过程等工作不够深入，并缺乏系统性。</w:t>
      </w:r>
    </w:p>
    <w:p>
      <w:pPr>
        <w:ind w:firstLine="560"/>
      </w:pPr>
      <w:r>
        <w:rPr>
          <w:rFonts w:hint="eastAsia"/>
        </w:rPr>
        <w:t>（2）工作区前期工作均以水质测试及水化学方法作为地下水污染调查评价的主要手段，较为单一，且效果有限，不能查清诸如污染物来源、迁移转化过程等内在机理，进一步导致调查评价结果精度受限。</w:t>
      </w:r>
    </w:p>
    <w:p>
      <w:pPr>
        <w:ind w:firstLine="560"/>
      </w:pPr>
      <w:r>
        <w:rPr>
          <w:rFonts w:hint="eastAsia"/>
        </w:rPr>
        <w:t>（3）前期调查评估工作，</w:t>
      </w:r>
      <w:r>
        <w:rPr>
          <w:rFonts w:hint="eastAsia" w:ascii="宋体" w:hAnsi="宋体" w:cs="宋体"/>
          <w:szCs w:val="28"/>
        </w:rPr>
        <w:t>尽管开展了重点区调查，但仅未</w:t>
      </w:r>
      <w:r>
        <w:rPr>
          <w:rFonts w:ascii="宋体" w:hAnsi="宋体" w:cs="宋体"/>
          <w:szCs w:val="28"/>
        </w:rPr>
        <w:t>初步调查阶段</w:t>
      </w:r>
      <w:r>
        <w:rPr>
          <w:rFonts w:hint="eastAsia" w:ascii="宋体" w:hAnsi="宋体" w:cs="宋体"/>
          <w:szCs w:val="28"/>
        </w:rPr>
        <w:t>，且</w:t>
      </w:r>
      <w:r>
        <w:rPr>
          <w:rFonts w:hint="eastAsia"/>
        </w:rPr>
        <w:t>缺乏多期对比分析说明地下水环境状况的变化特征。</w:t>
      </w:r>
    </w:p>
    <w:p>
      <w:pPr>
        <w:ind w:firstLine="560"/>
      </w:pPr>
      <w:r>
        <w:rPr>
          <w:rFonts w:hint="eastAsia"/>
        </w:rPr>
        <w:t>（4）在取样和分析过程中，对地下水含水层为分类不清，不能明确界定锰、铬(六价)、硒、氯化物、氨氮、亚硝酸盐、硝酸盐、总硬度等超标因子和污染物在不同含水层中的分布状况和扩散范围，对污染因子和污染程度论述不一。</w:t>
      </w:r>
    </w:p>
    <w:p>
      <w:pPr>
        <w:ind w:firstLineChars="0"/>
      </w:pPr>
      <w:r>
        <w:rPr>
          <w:rFonts w:hint="eastAsia"/>
        </w:rPr>
        <w:t>（5）地下水样品采集的时间分辨率低，工作周期较短，严重缺乏在地下水质量动态变化过程分析方面内容，缺乏系统、持续的监测数据来对水源地水环境劣化原因开展精确解析，忽略了地下水质量随时间和季节变化的特征分析。</w:t>
      </w:r>
    </w:p>
    <w:p>
      <w:pPr>
        <w:pStyle w:val="6"/>
        <w:spacing w:before="156" w:after="156"/>
        <w:ind w:firstLine="562"/>
      </w:pPr>
      <w:r>
        <w:rPr>
          <w:rFonts w:hint="eastAsia"/>
        </w:rPr>
        <w:t>3</w:t>
      </w:r>
      <w:r>
        <w:t xml:space="preserve">.2.2 </w:t>
      </w:r>
      <w:r>
        <w:rPr>
          <w:rFonts w:hint="eastAsia"/>
        </w:rPr>
        <w:t>一亩泉水源地地下水环境工作需要加强的几个方面</w:t>
      </w:r>
    </w:p>
    <w:p>
      <w:pPr>
        <w:ind w:firstLine="560"/>
      </w:pPr>
      <w:r>
        <w:rPr>
          <w:rFonts w:hint="eastAsia"/>
        </w:rPr>
        <w:t>通过上述问题诊断，本次工作将以如下几个方面作为重点，开展补充调查工作，切实查清一亩泉水源地地下水环境状况，评估污染程度、空间分布，查清污染成因、溯源污染源等，为一亩泉水源地地下水环境风险管控和修复治理提供依据。</w:t>
      </w:r>
    </w:p>
    <w:p>
      <w:pPr>
        <w:pStyle w:val="6"/>
        <w:spacing w:before="156" w:after="156"/>
        <w:ind w:firstLine="562"/>
      </w:pPr>
      <w:r>
        <w:rPr>
          <w:rFonts w:hint="eastAsia"/>
        </w:rPr>
        <w:t>（1）开展全面、持续多期次的地下水环境监测评估，查清污染因子的动态变化特征和污染范围</w:t>
      </w:r>
    </w:p>
    <w:p>
      <w:pPr>
        <w:ind w:firstLine="560"/>
      </w:pPr>
      <w:r>
        <w:rPr>
          <w:rFonts w:hint="eastAsia"/>
        </w:rPr>
        <w:t>在前期历次调查评估工作基础上，以不同含水层作为取样分类依据，通过多期次调查监测，查清一亩泉水源地及保护区范围内，地下水水质量的立体分布特征。增加地下水样品采集的频次，加强对地下水质量动态变化过程监测分析工作，查明地下水质量随时间和季节变化的特征，理清不同超标因子在不同层位或时间段的分布情况和范围，为区域地下水环境治理提供基础数据。</w:t>
      </w:r>
    </w:p>
    <w:p>
      <w:pPr>
        <w:pStyle w:val="6"/>
        <w:spacing w:before="156" w:after="156"/>
        <w:ind w:firstLine="562"/>
      </w:pPr>
      <w:r>
        <w:rPr>
          <w:rFonts w:hint="eastAsia"/>
        </w:rPr>
        <w:t>（2）系统查清污染成因，溯源污染源和污染因子迁移转化途径</w:t>
      </w:r>
    </w:p>
    <w:p>
      <w:pPr>
        <w:ind w:firstLine="560"/>
      </w:pPr>
      <w:r>
        <w:rPr>
          <w:rFonts w:hint="eastAsia"/>
        </w:rPr>
        <w:t>通过调查、钻探、物探、监测、同位素等多手段结合获取系统、持续多期次的基础数据和水环境监测数据，细化工作区水文地质结构，为后续污染源及污染物迁移转化过程提供基础。以2</w:t>
      </w:r>
      <w:r>
        <w:t>021</w:t>
      </w:r>
      <w:r>
        <w:rPr>
          <w:rFonts w:hint="eastAsia"/>
        </w:rPr>
        <w:t>年开展工作发现的污染点作为重点，圈定重点详查区，全面评估区内水环境状况、确定污染因子和成因，溯源污染源，明确污染程度及其迁移转化途径，为未来一亩泉水源保护区范围修订及地下水污染问题的彻底解决打下基础。</w:t>
      </w:r>
    </w:p>
    <w:p>
      <w:pPr>
        <w:pStyle w:val="6"/>
        <w:spacing w:before="156" w:after="156"/>
        <w:ind w:firstLine="562"/>
      </w:pPr>
      <w:r>
        <w:rPr>
          <w:rFonts w:hint="eastAsia"/>
        </w:rPr>
        <w:t>（3）强化地下水水质监测能力</w:t>
      </w:r>
    </w:p>
    <w:p>
      <w:pPr>
        <w:ind w:firstLine="560"/>
      </w:pPr>
      <w:r>
        <w:rPr>
          <w:rFonts w:hint="eastAsia"/>
        </w:rPr>
        <w:t>目前，工作区地下水水质超标项较为多，且呈由点向面发展趋势，增加了监测范围和监测复杂性。需在原有监测网基础上合理规划补充监测点，形成以点成线、以线带面的多层级、多区域监测体系，并针对已有重点污染源进行强化监测，应用分层自动监测系统，建立高敏感度、多参数、高信息化程度的地下水水质监测系统，为后续一亩泉水源地地下水环境状况风险评估、风险管控和治理修复等工作持续顺利推进奠定基础。</w:t>
      </w:r>
    </w:p>
    <w:p>
      <w:pPr>
        <w:pStyle w:val="2"/>
        <w:ind w:left="560" w:firstLine="560"/>
      </w:pPr>
    </w:p>
    <w:p>
      <w:pPr>
        <w:ind w:firstLine="560"/>
        <w:sectPr>
          <w:footerReference r:id="rId18" w:type="default"/>
          <w:pgSz w:w="11907" w:h="16839"/>
          <w:pgMar w:top="1440" w:right="1800" w:bottom="1440" w:left="1800" w:header="851" w:footer="992" w:gutter="0"/>
          <w:cols w:space="425" w:num="1"/>
          <w:docGrid w:type="lines" w:linePitch="312" w:charSpace="0"/>
        </w:sectPr>
      </w:pPr>
    </w:p>
    <w:p>
      <w:pPr>
        <w:ind w:firstLine="560"/>
      </w:pPr>
    </w:p>
    <w:p>
      <w:pPr>
        <w:pStyle w:val="3"/>
      </w:pPr>
      <w:bookmarkStart w:id="67" w:name="_Toc118098357"/>
      <w:bookmarkStart w:id="68" w:name="_Toc9587925"/>
      <w:r>
        <w:t>第</w:t>
      </w:r>
      <w:r>
        <w:rPr>
          <w:rFonts w:hint="eastAsia"/>
        </w:rPr>
        <w:t>四</w:t>
      </w:r>
      <w:r>
        <w:t>章</w:t>
      </w:r>
      <w:r>
        <w:rPr>
          <w:rFonts w:hint="eastAsia"/>
        </w:rPr>
        <w:t xml:space="preserve"> </w:t>
      </w:r>
      <w:r>
        <w:t xml:space="preserve"> 技术路线及措施</w:t>
      </w:r>
      <w:bookmarkEnd w:id="67"/>
      <w:bookmarkEnd w:id="68"/>
    </w:p>
    <w:p>
      <w:pPr>
        <w:pStyle w:val="5"/>
        <w:ind w:firstLine="602"/>
        <w:rPr>
          <w:b/>
          <w:bCs/>
        </w:rPr>
      </w:pPr>
      <w:bookmarkStart w:id="69" w:name="_Toc118098358"/>
      <w:bookmarkStart w:id="70" w:name="_Toc9587926"/>
      <w:r>
        <w:rPr>
          <w:rFonts w:hint="eastAsia"/>
          <w:b/>
          <w:bCs/>
        </w:rPr>
        <w:t>4.1技术路线</w:t>
      </w:r>
      <w:bookmarkEnd w:id="69"/>
      <w:bookmarkEnd w:id="70"/>
    </w:p>
    <w:p>
      <w:pPr>
        <w:snapToGrid w:val="0"/>
        <w:ind w:firstLine="560"/>
        <w:rPr>
          <w:szCs w:val="28"/>
        </w:rPr>
      </w:pPr>
      <w:r>
        <w:rPr>
          <w:rFonts w:hint="eastAsia"/>
          <w:szCs w:val="28"/>
        </w:rPr>
        <w:t>保定市一亩泉地下水型集中式生活饮用水水源地地下水环境状况详细调查与评估项目实施</w:t>
      </w:r>
      <w:r>
        <w:rPr>
          <w:szCs w:val="28"/>
        </w:rPr>
        <w:t>方案总体思路可概括为</w:t>
      </w:r>
      <w:r>
        <w:rPr>
          <w:rFonts w:hint="eastAsia"/>
          <w:szCs w:val="28"/>
        </w:rPr>
        <w:t>详细</w:t>
      </w:r>
      <w:r>
        <w:rPr>
          <w:szCs w:val="28"/>
        </w:rPr>
        <w:t>调查</w:t>
      </w:r>
      <w:r>
        <w:rPr>
          <w:rFonts w:hint="eastAsia"/>
          <w:szCs w:val="28"/>
        </w:rPr>
        <w:t>监测</w:t>
      </w:r>
      <w:r>
        <w:rPr>
          <w:szCs w:val="28"/>
        </w:rPr>
        <w:t>—</w:t>
      </w:r>
      <w:r>
        <w:rPr>
          <w:rFonts w:hint="eastAsia"/>
          <w:szCs w:val="28"/>
        </w:rPr>
        <w:t>污染源解析</w:t>
      </w:r>
      <w:r>
        <w:rPr>
          <w:szCs w:val="28"/>
        </w:rPr>
        <w:t>—综合评价分析—</w:t>
      </w:r>
      <w:r>
        <w:rPr>
          <w:rFonts w:hint="eastAsia"/>
          <w:szCs w:val="28"/>
        </w:rPr>
        <w:t>撰写成果报告四个阶段（图4-1），主要工作内容包括五个方面</w:t>
      </w:r>
      <w:r>
        <w:rPr>
          <w:szCs w:val="28"/>
        </w:rPr>
        <w:t>。</w:t>
      </w:r>
    </w:p>
    <w:p>
      <w:pPr>
        <w:ind w:firstLine="560"/>
      </w:pPr>
      <w:r>
        <w:rPr>
          <w:rFonts w:hint="eastAsia"/>
        </w:rPr>
        <w:t>（1）地下水环境状况详细调查评价</w:t>
      </w:r>
    </w:p>
    <w:p>
      <w:pPr>
        <w:ind w:firstLine="560"/>
      </w:pPr>
      <w:r>
        <w:rPr>
          <w:rFonts w:hint="eastAsia"/>
        </w:rPr>
        <w:t>在一亩泉地下水型饮用水源地区已有调查成果和地下水污染状况调查（“双源”调查）工作的基础上，开展覆盖一亩泉水源地保护区的区域调查，并以2021年开展的一亩泉水源地地下水环境状况调查调查工作发现的地下水监测井污染点及周边区域作为重点区开展详细调查，了解调查区土壤性质、地层岩性分布、含水层分布、地下水补径排条件，获取地质信息及关键水文地质参数；结合地下水样品检测，开展地下水质量和污染状况评估，进一步明确特征污染指标、污染程度，查清地下水污染区空间分布情况，圈定地下水污染范围，判断污染物在土壤和含水层中的迁移扩散条件，为地下水污染风险评估和趋势模拟预测奠定基础。</w:t>
      </w:r>
    </w:p>
    <w:p>
      <w:pPr>
        <w:numPr>
          <w:ilvl w:val="0"/>
          <w:numId w:val="3"/>
        </w:numPr>
        <w:ind w:firstLine="560"/>
      </w:pPr>
      <w:r>
        <w:rPr>
          <w:rFonts w:hint="eastAsia"/>
        </w:rPr>
        <w:t>水源地及补给区地下水环境监测网建设</w:t>
      </w:r>
    </w:p>
    <w:p>
      <w:pPr>
        <w:ind w:firstLine="560"/>
      </w:pPr>
      <w:r>
        <w:rPr>
          <w:rFonts w:hint="eastAsia"/>
        </w:rPr>
        <w:t>筛选确定本次工作重点调查对象，并进一步核查重点调查对象周边区域的地下水污染源底数，更新水源地保护区“双源”清单，制定地下水环境质量监测方案。以本次工作为主、企业自行监测作为补充，采用自动监测和人工监测相结合的方案，优化对水源地保护区及补给径流区、工农业污染源等地下水污染风险区域的监测井布设，完善监测理化指标、提升污染物监测分析能力，初步建立一亩泉水源地地下水和污染源监测网。</w:t>
      </w:r>
    </w:p>
    <w:p>
      <w:pPr>
        <w:ind w:firstLine="560"/>
      </w:pPr>
      <w:r>
        <w:rPr>
          <w:rFonts w:hint="eastAsia"/>
        </w:rPr>
        <w:t>（3）水源地及补给区地下水污染解析</w:t>
      </w:r>
    </w:p>
    <w:p>
      <w:pPr>
        <w:ind w:firstLine="560"/>
      </w:pPr>
      <w:r>
        <w:rPr>
          <w:rFonts w:hint="eastAsia"/>
        </w:rPr>
        <w:t>根据长序列多期次地下水环境监测数据，开展地下水质量评价和污染状况评价成果，解析地下水污染源。根据污染源的特征污染指标，识别地下水污染物种类，确定地下水污染的途径和方式，评价</w:t>
      </w:r>
      <w:r>
        <w:rPr>
          <w:szCs w:val="28"/>
        </w:rPr>
        <w:t>地下水污染风险</w:t>
      </w:r>
      <w:r>
        <w:rPr>
          <w:rFonts w:hint="eastAsia"/>
          <w:szCs w:val="28"/>
        </w:rPr>
        <w:t>，划定</w:t>
      </w:r>
      <w:r>
        <w:rPr>
          <w:szCs w:val="28"/>
        </w:rPr>
        <w:t>地下水污染防治</w:t>
      </w:r>
      <w:r>
        <w:rPr>
          <w:rFonts w:hint="eastAsia"/>
          <w:szCs w:val="28"/>
        </w:rPr>
        <w:t>重点区。</w:t>
      </w:r>
    </w:p>
    <w:p>
      <w:pPr>
        <w:ind w:firstLine="560"/>
      </w:pPr>
      <w:r>
        <w:rPr>
          <w:rFonts w:hint="eastAsia"/>
        </w:rPr>
        <w:t>（4）地下水污染趋势模拟预测</w:t>
      </w:r>
    </w:p>
    <w:p>
      <w:pPr>
        <w:ind w:firstLine="560"/>
      </w:pPr>
      <w:r>
        <w:rPr>
          <w:rFonts w:hint="eastAsia"/>
        </w:rPr>
        <w:t>基于地下水环境调查与评价工作成果，构建水源地区地下水污染概念模型，开展地下水水流特征模拟和污染物迁移转化过程模拟，并根据评估目标合理设计模拟场景，预测土壤和地下水污染区对一亩泉水源地的影响，定量表达地下水污染发生发展的趋势，进而评估污染扩散的速率和范围、污染受体的影响程度、不同污染防治手段的环境效益等，</w:t>
      </w:r>
      <w:r>
        <w:rPr>
          <w:rFonts w:hint="eastAsia"/>
          <w:szCs w:val="28"/>
        </w:rPr>
        <w:t>并提出合理修复建议，</w:t>
      </w:r>
      <w:r>
        <w:rPr>
          <w:rFonts w:hint="eastAsia"/>
        </w:rPr>
        <w:t>为后期开展水源地地下水修复与风险管控工程提供支撑。</w:t>
      </w:r>
    </w:p>
    <w:p>
      <w:pPr>
        <w:ind w:firstLine="560"/>
      </w:pPr>
      <w:r>
        <w:rPr>
          <w:rFonts w:hint="eastAsia"/>
        </w:rPr>
        <w:t>（5）地下水环境污染健康风险评估</w:t>
      </w:r>
    </w:p>
    <w:p>
      <w:pPr>
        <w:ind w:firstLine="560"/>
      </w:pPr>
      <w:r>
        <w:rPr>
          <w:rFonts w:hint="eastAsia"/>
        </w:rPr>
        <w:t>在地下水环境状况调查和污染调查基础上，查清污染地下水区对水源地的影响以及水源地关键暴露途径和暴露参数，分析地下水污染物对人群的主要暴露途径，开展健康风险评估。</w:t>
      </w:r>
    </w:p>
    <w:p>
      <w:pPr>
        <w:ind w:firstLine="0" w:firstLineChars="0"/>
      </w:pPr>
      <w:r>
        <w:rPr>
          <w:rFonts w:hint="eastAsia"/>
        </w:rPr>
        <w:drawing>
          <wp:inline distT="0" distB="0" distL="114300" distR="114300">
            <wp:extent cx="5275580" cy="5305425"/>
            <wp:effectExtent l="0" t="0" r="12700" b="13335"/>
            <wp:docPr id="5" name="图片 5" descr="技术路线图gl-l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技术路线图gl-lw"/>
                    <pic:cNvPicPr>
                      <a:picLocks noChangeAspect="1"/>
                    </pic:cNvPicPr>
                  </pic:nvPicPr>
                  <pic:blipFill>
                    <a:blip r:embed="rId33"/>
                    <a:srcRect l="16331" t="7158" r="8756" b="9308"/>
                    <a:stretch>
                      <a:fillRect/>
                    </a:stretch>
                  </pic:blipFill>
                  <pic:spPr>
                    <a:xfrm>
                      <a:off x="0" y="0"/>
                      <a:ext cx="5275580" cy="5305425"/>
                    </a:xfrm>
                    <a:prstGeom prst="rect">
                      <a:avLst/>
                    </a:prstGeom>
                  </pic:spPr>
                </pic:pic>
              </a:graphicData>
            </a:graphic>
          </wp:inline>
        </w:drawing>
      </w:r>
    </w:p>
    <w:p>
      <w:pPr>
        <w:ind w:firstLine="0" w:firstLineChars="0"/>
        <w:jc w:val="center"/>
        <w:rPr>
          <w:rFonts w:ascii="黑体" w:hAnsi="黑体" w:eastAsia="黑体" w:cs="黑体"/>
          <w:sz w:val="21"/>
          <w:szCs w:val="21"/>
        </w:rPr>
      </w:pPr>
      <w:r>
        <w:rPr>
          <w:rFonts w:hint="eastAsia" w:ascii="黑体" w:hAnsi="黑体" w:eastAsia="黑体" w:cs="黑体"/>
          <w:sz w:val="21"/>
          <w:szCs w:val="21"/>
        </w:rPr>
        <w:drawing>
          <wp:inline distT="0" distB="0" distL="114300" distR="114300">
            <wp:extent cx="635" cy="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4"/>
                    <a:stretch>
                      <a:fillRect/>
                    </a:stretch>
                  </pic:blipFill>
                  <pic:spPr>
                    <a:xfrm>
                      <a:off x="0" y="0"/>
                      <a:ext cx="635" cy="0"/>
                    </a:xfrm>
                    <a:prstGeom prst="rect">
                      <a:avLst/>
                    </a:prstGeom>
                    <a:noFill/>
                    <a:ln>
                      <a:noFill/>
                    </a:ln>
                  </pic:spPr>
                </pic:pic>
              </a:graphicData>
            </a:graphic>
          </wp:inline>
        </w:drawing>
      </w:r>
      <w:r>
        <w:rPr>
          <w:rFonts w:hint="eastAsia" w:ascii="黑体" w:hAnsi="黑体" w:eastAsia="黑体" w:cs="黑体"/>
          <w:sz w:val="21"/>
          <w:szCs w:val="21"/>
        </w:rPr>
        <w:t>图4-1  保定市一亩泉水源保护区地下水环境状况详细调查评估技术路线</w:t>
      </w:r>
    </w:p>
    <w:p>
      <w:pPr>
        <w:pStyle w:val="5"/>
        <w:ind w:firstLine="602"/>
        <w:rPr>
          <w:b/>
          <w:bCs/>
        </w:rPr>
      </w:pPr>
      <w:bookmarkStart w:id="71" w:name="_Toc118098359"/>
      <w:r>
        <w:rPr>
          <w:rFonts w:hint="eastAsia"/>
          <w:b/>
          <w:bCs/>
        </w:rPr>
        <w:t>4.2 工作部署</w:t>
      </w:r>
      <w:bookmarkEnd w:id="71"/>
    </w:p>
    <w:p>
      <w:pPr>
        <w:pStyle w:val="6"/>
        <w:spacing w:before="156" w:after="156"/>
        <w:ind w:firstLine="562"/>
      </w:pPr>
      <w:r>
        <w:rPr>
          <w:rFonts w:hint="eastAsia"/>
        </w:rPr>
        <w:t>4.2.1 核查已有“双源”清单</w:t>
      </w:r>
    </w:p>
    <w:p>
      <w:pPr>
        <w:pStyle w:val="62"/>
        <w:spacing w:before="156" w:after="156"/>
        <w:ind w:firstLine="480"/>
        <w:jc w:val="left"/>
        <w:rPr>
          <w:b w:val="0"/>
          <w:bCs w:val="0"/>
          <w:sz w:val="28"/>
          <w:szCs w:val="28"/>
        </w:rPr>
      </w:pPr>
      <w:r>
        <w:rPr>
          <w:rFonts w:hint="eastAsia"/>
          <w:b w:val="0"/>
          <w:bCs w:val="0"/>
          <w:sz w:val="28"/>
          <w:szCs w:val="28"/>
        </w:rPr>
        <w:t>经过对满城区、竞秀区、顺平县“双源”清单进行整理分析，一亩泉水源地保护区范围内7类污染源共存在工业污染源、加油站、农业污染源3大类污染源，共计114个污染风险源，其中工业污染隐患30个，加油站46个，规模化养殖场38个（表4-1）。</w:t>
      </w:r>
    </w:p>
    <w:p>
      <w:pPr>
        <w:pStyle w:val="62"/>
        <w:spacing w:before="156" w:after="156"/>
        <w:ind w:firstLine="480"/>
        <w:jc w:val="left"/>
        <w:rPr>
          <w:b w:val="0"/>
          <w:bCs w:val="0"/>
          <w:sz w:val="28"/>
          <w:szCs w:val="28"/>
        </w:rPr>
      </w:pPr>
      <w:r>
        <w:rPr>
          <w:rFonts w:hint="eastAsia"/>
          <w:b w:val="0"/>
          <w:bCs w:val="0"/>
          <w:sz w:val="28"/>
          <w:szCs w:val="28"/>
        </w:rPr>
        <w:t>本次工作重点是在2021年筛选基础上，依据调查成果进一步对污染源进行核查，逐一对全区污染源进行现场调研走访，确定污染源风险隐患。</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表4-1 重点调查对象筛选结果</w:t>
      </w:r>
    </w:p>
    <w:tbl>
      <w:tblPr>
        <w:tblStyle w:val="31"/>
        <w:tblW w:w="83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0"/>
        <w:gridCol w:w="1851"/>
        <w:gridCol w:w="1233"/>
        <w:gridCol w:w="45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2621" w:type="dxa"/>
            <w:gridSpan w:val="2"/>
            <w:vAlign w:val="center"/>
          </w:tcPr>
          <w:p>
            <w:pPr>
              <w:pStyle w:val="63"/>
              <w:rPr>
                <w:b/>
                <w:bCs/>
                <w:color w:val="auto"/>
              </w:rPr>
            </w:pPr>
            <w:r>
              <w:rPr>
                <w:rFonts w:hint="eastAsia"/>
                <w:b/>
                <w:bCs/>
                <w:color w:val="auto"/>
              </w:rPr>
              <w:t>类别</w:t>
            </w:r>
          </w:p>
        </w:tc>
        <w:tc>
          <w:tcPr>
            <w:tcW w:w="1233" w:type="dxa"/>
            <w:vAlign w:val="center"/>
          </w:tcPr>
          <w:p>
            <w:pPr>
              <w:pStyle w:val="63"/>
              <w:rPr>
                <w:b/>
                <w:bCs/>
                <w:color w:val="auto"/>
              </w:rPr>
            </w:pPr>
            <w:r>
              <w:rPr>
                <w:rFonts w:hint="eastAsia"/>
                <w:b/>
                <w:bCs/>
                <w:color w:val="auto"/>
              </w:rPr>
              <w:t>数量</w:t>
            </w:r>
          </w:p>
        </w:tc>
        <w:tc>
          <w:tcPr>
            <w:tcW w:w="4525" w:type="dxa"/>
            <w:vAlign w:val="center"/>
          </w:tcPr>
          <w:p>
            <w:pPr>
              <w:pStyle w:val="63"/>
              <w:rPr>
                <w:b/>
                <w:bCs/>
                <w:color w:val="auto"/>
              </w:rPr>
            </w:pPr>
            <w:r>
              <w:rPr>
                <w:rFonts w:hint="eastAsia"/>
                <w:b/>
                <w:bCs/>
                <w:color w:val="auto"/>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jc w:val="center"/>
        </w:trPr>
        <w:tc>
          <w:tcPr>
            <w:tcW w:w="770" w:type="dxa"/>
            <w:vMerge w:val="restart"/>
            <w:vAlign w:val="center"/>
          </w:tcPr>
          <w:p>
            <w:pPr>
              <w:pStyle w:val="63"/>
              <w:rPr>
                <w:color w:val="auto"/>
              </w:rPr>
            </w:pPr>
            <w:r>
              <w:rPr>
                <w:rFonts w:hint="eastAsia"/>
                <w:color w:val="auto"/>
              </w:rPr>
              <w:t>污染源</w:t>
            </w:r>
          </w:p>
        </w:tc>
        <w:tc>
          <w:tcPr>
            <w:tcW w:w="1851" w:type="dxa"/>
            <w:vAlign w:val="center"/>
          </w:tcPr>
          <w:p>
            <w:pPr>
              <w:pStyle w:val="63"/>
              <w:rPr>
                <w:color w:val="auto"/>
              </w:rPr>
            </w:pPr>
            <w:r>
              <w:rPr>
                <w:rFonts w:hint="eastAsia"/>
                <w:color w:val="auto"/>
              </w:rPr>
              <w:t>工业污染源</w:t>
            </w:r>
          </w:p>
        </w:tc>
        <w:tc>
          <w:tcPr>
            <w:tcW w:w="1233" w:type="dxa"/>
            <w:vAlign w:val="center"/>
          </w:tcPr>
          <w:p>
            <w:pPr>
              <w:pStyle w:val="63"/>
              <w:rPr>
                <w:color w:val="auto"/>
              </w:rPr>
            </w:pPr>
            <w:r>
              <w:rPr>
                <w:rFonts w:hint="eastAsia"/>
                <w:color w:val="auto"/>
              </w:rPr>
              <w:t>30处</w:t>
            </w:r>
          </w:p>
        </w:tc>
        <w:tc>
          <w:tcPr>
            <w:tcW w:w="4525" w:type="dxa"/>
            <w:vAlign w:val="center"/>
          </w:tcPr>
          <w:p>
            <w:pPr>
              <w:pStyle w:val="63"/>
              <w:jc w:val="left"/>
              <w:rPr>
                <w:color w:val="auto"/>
              </w:rPr>
            </w:pPr>
            <w:r>
              <w:rPr>
                <w:rFonts w:hint="eastAsia"/>
                <w:color w:val="auto"/>
              </w:rPr>
              <w:t>主要涉及石油加工/炼焦加工业、有色金属冶炼及压延加工业、化学原料及化学制品制造业、金属制品业等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70" w:type="dxa"/>
            <w:vMerge w:val="continue"/>
            <w:vAlign w:val="center"/>
          </w:tcPr>
          <w:p>
            <w:pPr>
              <w:pStyle w:val="63"/>
              <w:rPr>
                <w:color w:val="auto"/>
              </w:rPr>
            </w:pPr>
          </w:p>
        </w:tc>
        <w:tc>
          <w:tcPr>
            <w:tcW w:w="1851" w:type="dxa"/>
            <w:vAlign w:val="center"/>
          </w:tcPr>
          <w:p>
            <w:pPr>
              <w:pStyle w:val="63"/>
              <w:rPr>
                <w:color w:val="auto"/>
              </w:rPr>
            </w:pPr>
            <w:r>
              <w:rPr>
                <w:rFonts w:hint="eastAsia"/>
                <w:color w:val="auto"/>
              </w:rPr>
              <w:t>农业污染源</w:t>
            </w:r>
          </w:p>
        </w:tc>
        <w:tc>
          <w:tcPr>
            <w:tcW w:w="1233" w:type="dxa"/>
            <w:vAlign w:val="center"/>
          </w:tcPr>
          <w:p>
            <w:pPr>
              <w:pStyle w:val="63"/>
              <w:rPr>
                <w:color w:val="auto"/>
              </w:rPr>
            </w:pPr>
            <w:r>
              <w:rPr>
                <w:rFonts w:hint="eastAsia"/>
                <w:color w:val="auto"/>
              </w:rPr>
              <w:t>38处</w:t>
            </w:r>
          </w:p>
        </w:tc>
        <w:tc>
          <w:tcPr>
            <w:tcW w:w="4525" w:type="dxa"/>
            <w:vAlign w:val="center"/>
          </w:tcPr>
          <w:p>
            <w:pPr>
              <w:pStyle w:val="63"/>
              <w:jc w:val="left"/>
              <w:rPr>
                <w:color w:val="auto"/>
              </w:rPr>
            </w:pPr>
            <w:r>
              <w:rPr>
                <w:rFonts w:hint="eastAsia"/>
                <w:color w:val="auto"/>
              </w:rPr>
              <w:t>主要为规模化养殖场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70" w:type="dxa"/>
            <w:vMerge w:val="continue"/>
            <w:vAlign w:val="center"/>
          </w:tcPr>
          <w:p>
            <w:pPr>
              <w:pStyle w:val="63"/>
              <w:rPr>
                <w:color w:val="auto"/>
              </w:rPr>
            </w:pPr>
          </w:p>
        </w:tc>
        <w:tc>
          <w:tcPr>
            <w:tcW w:w="1851" w:type="dxa"/>
            <w:vAlign w:val="center"/>
          </w:tcPr>
          <w:p>
            <w:pPr>
              <w:pStyle w:val="63"/>
              <w:rPr>
                <w:color w:val="auto"/>
              </w:rPr>
            </w:pPr>
            <w:r>
              <w:rPr>
                <w:rFonts w:hint="eastAsia"/>
                <w:color w:val="auto"/>
              </w:rPr>
              <w:t>加油钻</w:t>
            </w:r>
          </w:p>
        </w:tc>
        <w:tc>
          <w:tcPr>
            <w:tcW w:w="1233" w:type="dxa"/>
            <w:vAlign w:val="center"/>
          </w:tcPr>
          <w:p>
            <w:pPr>
              <w:pStyle w:val="63"/>
              <w:rPr>
                <w:color w:val="auto"/>
              </w:rPr>
            </w:pPr>
            <w:r>
              <w:rPr>
                <w:rFonts w:hint="eastAsia"/>
                <w:color w:val="auto"/>
              </w:rPr>
              <w:t>46处</w:t>
            </w:r>
          </w:p>
        </w:tc>
        <w:tc>
          <w:tcPr>
            <w:tcW w:w="4525" w:type="dxa"/>
            <w:vAlign w:val="center"/>
          </w:tcPr>
          <w:p>
            <w:pPr>
              <w:pStyle w:val="63"/>
              <w:jc w:val="left"/>
              <w:rPr>
                <w:color w:val="auto"/>
              </w:rPr>
            </w:pPr>
            <w:r>
              <w:rPr>
                <w:rFonts w:hint="eastAsia"/>
                <w:color w:val="auto"/>
              </w:rPr>
              <w:t>以中石化为主</w:t>
            </w:r>
          </w:p>
        </w:tc>
      </w:tr>
    </w:tbl>
    <w:p>
      <w:pPr>
        <w:snapToGrid w:val="0"/>
        <w:ind w:firstLine="480"/>
        <w:rPr>
          <w:sz w:val="24"/>
          <w:szCs w:val="21"/>
        </w:rPr>
      </w:pPr>
    </w:p>
    <w:p>
      <w:pPr>
        <w:pStyle w:val="62"/>
        <w:spacing w:before="156" w:after="156"/>
        <w:ind w:firstLine="480"/>
        <w:jc w:val="left"/>
        <w:rPr>
          <w:b w:val="0"/>
          <w:bCs w:val="0"/>
          <w:sz w:val="28"/>
          <w:szCs w:val="28"/>
        </w:rPr>
      </w:pPr>
      <w:r>
        <w:rPr>
          <w:rFonts w:hint="eastAsia"/>
          <w:b w:val="0"/>
          <w:bCs w:val="0"/>
          <w:sz w:val="28"/>
          <w:szCs w:val="28"/>
        </w:rPr>
        <w:t>“双源”的核查工作主要通过资料收集、现场踏勘核实及座谈访问等形式开展，完成“双源”调查对象清单表的填写，构建、更新完整的“双源”清单数据库。</w:t>
      </w:r>
    </w:p>
    <w:p>
      <w:pPr>
        <w:pStyle w:val="62"/>
        <w:spacing w:before="156" w:after="156"/>
        <w:ind w:firstLine="480"/>
        <w:jc w:val="left"/>
        <w:rPr>
          <w:b w:val="0"/>
          <w:bCs w:val="0"/>
          <w:sz w:val="28"/>
          <w:szCs w:val="28"/>
        </w:rPr>
      </w:pPr>
      <w:r>
        <w:rPr>
          <w:rFonts w:hint="eastAsia"/>
          <w:b w:val="0"/>
          <w:bCs w:val="0"/>
          <w:sz w:val="28"/>
          <w:szCs w:val="28"/>
        </w:rPr>
        <w:t>污染源清单信息主要包括污染源名称、所在地区、所属水文地质单元、地理坐标、重点污染源基础信息、监测井信息和水质监测状况、主要污染指标等信息。选择可能对地下水环境产生影响的，且储存、使用、生产排放有毒有害物质的工业污染源进行清单信息收集。</w:t>
      </w:r>
    </w:p>
    <w:p>
      <w:pPr>
        <w:pStyle w:val="6"/>
        <w:spacing w:before="156" w:after="156"/>
        <w:ind w:firstLine="562"/>
      </w:pPr>
      <w:r>
        <w:rPr>
          <w:rFonts w:hint="eastAsia"/>
        </w:rPr>
        <w:t>4.2.2 地下水环境状况详细调查</w:t>
      </w:r>
    </w:p>
    <w:p>
      <w:pPr>
        <w:pStyle w:val="62"/>
        <w:spacing w:before="156" w:after="156"/>
        <w:ind w:firstLine="480"/>
        <w:jc w:val="left"/>
        <w:rPr>
          <w:b w:val="0"/>
          <w:bCs w:val="0"/>
          <w:sz w:val="28"/>
          <w:szCs w:val="28"/>
        </w:rPr>
      </w:pPr>
      <w:r>
        <w:rPr>
          <w:rFonts w:hint="eastAsia"/>
          <w:b w:val="0"/>
          <w:bCs w:val="0"/>
          <w:sz w:val="28"/>
          <w:szCs w:val="28"/>
        </w:rPr>
        <w:t>(1) 重点区详查</w:t>
      </w:r>
    </w:p>
    <w:p>
      <w:pPr>
        <w:snapToGrid w:val="0"/>
        <w:ind w:firstLine="560"/>
        <w:rPr>
          <w:szCs w:val="28"/>
        </w:rPr>
      </w:pPr>
      <w:r>
        <w:rPr>
          <w:rFonts w:hint="eastAsia"/>
          <w:szCs w:val="28"/>
        </w:rPr>
        <w:t>①工作范围</w:t>
      </w:r>
    </w:p>
    <w:p>
      <w:pPr>
        <w:snapToGrid w:val="0"/>
        <w:ind w:firstLine="560"/>
        <w:rPr>
          <w:szCs w:val="28"/>
        </w:rPr>
      </w:pPr>
      <w:r>
        <w:rPr>
          <w:rFonts w:hint="eastAsia"/>
          <w:szCs w:val="28"/>
        </w:rPr>
        <w:t>在2021年开展的一亩泉水源地地下水环境状况调查调查工作发现的地下水监测井污染点及周边区域作为重点区开展详细调查，调查面积80km</w:t>
      </w:r>
      <w:r>
        <w:rPr>
          <w:rFonts w:hint="eastAsia"/>
          <w:szCs w:val="28"/>
          <w:vertAlign w:val="superscript"/>
        </w:rPr>
        <w:t>2</w:t>
      </w:r>
      <w:r>
        <w:rPr>
          <w:rFonts w:hint="eastAsia"/>
          <w:szCs w:val="28"/>
        </w:rPr>
        <w:t>，参照《地下水环境状况调查评价工作指南》（环办土壤函[</w:t>
      </w:r>
      <w:r>
        <w:rPr>
          <w:szCs w:val="28"/>
        </w:rPr>
        <w:t>2019]770</w:t>
      </w:r>
      <w:r>
        <w:rPr>
          <w:rFonts w:hint="eastAsia"/>
          <w:szCs w:val="28"/>
        </w:rPr>
        <w:t>号关于初步调查资料分析的要求以及《场地环境监测技术导则》（HJ25.2）关于地下水环境监测点工作部署要求，综合确定重点区详查工作精度不低于1:2000，其余工作区精度不低于1:10000。</w:t>
      </w:r>
    </w:p>
    <w:p>
      <w:pPr>
        <w:pStyle w:val="2"/>
        <w:ind w:left="0" w:leftChars="0" w:firstLine="0" w:firstLineChars="0"/>
      </w:pPr>
      <w:r>
        <w:rPr>
          <w:rFonts w:hint="eastAsia"/>
        </w:rPr>
        <w:drawing>
          <wp:inline distT="0" distB="0" distL="114300" distR="114300">
            <wp:extent cx="5323205" cy="3952875"/>
            <wp:effectExtent l="0" t="0" r="10795" b="9525"/>
            <wp:docPr id="8" name="图片 8" descr="一亩泉重点调查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一亩泉重点调查区"/>
                    <pic:cNvPicPr>
                      <a:picLocks noChangeAspect="1"/>
                    </pic:cNvPicPr>
                  </pic:nvPicPr>
                  <pic:blipFill>
                    <a:blip r:embed="rId35"/>
                    <a:srcRect l="3168" t="3855" r="2927" b="3180"/>
                    <a:stretch>
                      <a:fillRect/>
                    </a:stretch>
                  </pic:blipFill>
                  <pic:spPr>
                    <a:xfrm>
                      <a:off x="0" y="0"/>
                      <a:ext cx="5323205" cy="3952875"/>
                    </a:xfrm>
                    <a:prstGeom prst="rect">
                      <a:avLst/>
                    </a:prstGeom>
                  </pic:spPr>
                </pic:pic>
              </a:graphicData>
            </a:graphic>
          </wp:inline>
        </w:drawing>
      </w:r>
    </w:p>
    <w:p>
      <w:pPr>
        <w:ind w:firstLine="0" w:firstLineChars="0"/>
        <w:jc w:val="center"/>
        <w:rPr>
          <w:rFonts w:ascii="黑体" w:hAnsi="黑体" w:eastAsia="黑体" w:cs="黑体"/>
          <w:sz w:val="21"/>
          <w:szCs w:val="21"/>
        </w:rPr>
      </w:pPr>
      <w:r>
        <w:rPr>
          <w:rFonts w:hint="eastAsia" w:ascii="黑体" w:hAnsi="黑体" w:eastAsia="黑体" w:cs="黑体"/>
          <w:sz w:val="21"/>
          <w:szCs w:val="21"/>
        </w:rPr>
        <w:t>图4-2 地下水环境状况详细调查重点区工作范围</w:t>
      </w:r>
    </w:p>
    <w:p>
      <w:pPr>
        <w:snapToGrid w:val="0"/>
        <w:ind w:firstLine="560"/>
        <w:rPr>
          <w:szCs w:val="28"/>
        </w:rPr>
      </w:pPr>
      <w:r>
        <w:rPr>
          <w:rFonts w:hint="eastAsia"/>
          <w:szCs w:val="28"/>
        </w:rPr>
        <w:t>②工作内容</w:t>
      </w:r>
    </w:p>
    <w:p>
      <w:pPr>
        <w:snapToGrid w:val="0"/>
        <w:ind w:firstLine="560"/>
        <w:rPr>
          <w:szCs w:val="28"/>
        </w:rPr>
      </w:pPr>
      <w:r>
        <w:rPr>
          <w:rFonts w:hint="eastAsia"/>
          <w:szCs w:val="28"/>
        </w:rPr>
        <w:t>以初步调查时发现的34处污染点位及周边为详查重点（如图4-2、表4-1所示），开展地下水环境状况调查，结合通过物探、水文地质钻探等手段，查清重点区水文地质条件，包括地下水流向、污染源的分布和污染物迁移能力等。以污染点位为中心，</w:t>
      </w:r>
      <w:r>
        <w:rPr>
          <w:rFonts w:hint="eastAsia" w:cs="Times New Roman"/>
          <w:szCs w:val="28"/>
        </w:rPr>
        <w:t>向周边扩展1</w:t>
      </w:r>
      <w:r>
        <w:rPr>
          <w:rFonts w:cs="Times New Roman"/>
          <w:szCs w:val="28"/>
        </w:rPr>
        <w:t>000</w:t>
      </w:r>
      <w:r>
        <w:rPr>
          <w:rFonts w:hint="eastAsia" w:cs="Times New Roman"/>
          <w:szCs w:val="28"/>
        </w:rPr>
        <w:t>m圈定的最大区域范围为详查重点区。</w:t>
      </w:r>
      <w:r>
        <w:rPr>
          <w:rFonts w:hint="eastAsia"/>
          <w:szCs w:val="28"/>
        </w:rPr>
        <w:t>按照《场地环境监测技术导则》（HJ 25.2）在工作区和详查重点区布设地下水监测孔，开展详细采样，查明地下水演化特征及污染途径。</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表4-2 重点污染点信息一览表</w:t>
      </w:r>
    </w:p>
    <w:tbl>
      <w:tblPr>
        <w:tblStyle w:val="30"/>
        <w:tblW w:w="93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9"/>
        <w:gridCol w:w="878"/>
        <w:gridCol w:w="3054"/>
        <w:gridCol w:w="1779"/>
        <w:gridCol w:w="804"/>
        <w:gridCol w:w="749"/>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序号</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监测点编号</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污染因子</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地理位置</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取水层位</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pPr>
            <w:r>
              <w:rPr>
                <w:rFonts w:hint="eastAsia"/>
              </w:rPr>
              <w:t>井深</w:t>
            </w:r>
          </w:p>
          <w:p>
            <w:pPr>
              <w:pStyle w:val="2"/>
              <w:adjustRightInd w:val="0"/>
              <w:snapToGrid w:val="0"/>
              <w:spacing w:before="0" w:beforeAutospacing="0" w:after="0" w:afterAutospacing="0" w:line="240" w:lineRule="auto"/>
              <w:ind w:left="0" w:leftChars="0" w:firstLine="0" w:firstLineChars="0"/>
              <w:jc w:val="center"/>
            </w:pPr>
            <w:r>
              <w:rPr>
                <w:rFonts w:hint="eastAsia" w:ascii="宋体" w:hAnsi="宋体" w:cs="宋体"/>
                <w:color w:val="000000"/>
                <w:kern w:val="0"/>
                <w:sz w:val="21"/>
                <w:szCs w:val="21"/>
                <w:lang w:bidi="ar"/>
              </w:rPr>
              <w:t>(m)</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致癌污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JC01</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总硬度、溶解性总固体、耗氧量、氨氮氯化物</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满城区要庄乡王各庄村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风险不可接受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JC03</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满城区要庄乡两渔村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风险不可接受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JC19</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满城区石井乡西于河村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风险不可接受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4</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JC31</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总硬度、亚硝酸盐（以N计）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满城区满城镇抱阳村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风险不可接受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5</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JC46</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总硬度、亚硝酸盐（以N计）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满城区满城镇抱阳村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90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风险不可接受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6</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JC34</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满城区满城镇东马村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50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致癌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7</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JC39</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总硬度、硒、硝酸盐（以N计）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竞秀区南奇乡北奇村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致癌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8</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JC58</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总硬度、铬（六价）</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满城区满城镇李堡村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致癌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9</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JC05</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满城区石井乡东于河村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JC11</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满城区满城镇城东村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150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11</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JC14</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总硬度、锰</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满城区要庄乡西黄村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180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JC16</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满城区满城镇柳家佐村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13</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JC17</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满城区要庄乡贾庄村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80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14</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JC18</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满城区要庄乡小马坊村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180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15</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JC23</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满城区要庄乡小马坊村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180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16</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JC24</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满城区满城镇北庄村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90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17</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JC25</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满城区石井乡永安庄村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230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18</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JC28</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竞秀区南奇乡一亩泉村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19</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JC29</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满城区石井乡永安庄村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150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JC32</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满城区满城镇抱阳村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110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21</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JC35</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竞秀区南奇乡北奇村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22</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JC36</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竞秀区南奇乡北奇村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23</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JC41</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竞秀区江城乡谢庄村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24</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JC42</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竞秀区江城乡尹庄村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100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25</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JC53</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竞秀区南奇乡南奇村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26</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JC55</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竞秀区南奇乡南奇村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27</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JC91</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满城区石井乡西于河村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120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28</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JC96</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顺平县腰山镇两分庄村</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200</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29</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XJ01</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总硬度、溶解性总固体、锰、氯化物、硝酸盐（以N计）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满城区要庄乡两渔村东方位</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65.85</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30</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XJ02</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总硬度、硝酸盐（以N计）</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满城区满城镇韩家庄村东方位</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55.97</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31</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XJ05</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锰</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满城区满城镇茂山村西方位</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57.2</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32</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XJ07</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锰</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满城区韩南村镇大贾村西南方位</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63.39</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33</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XJ08</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总硬度、锰、氯化物</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满城区南韩村镇后屯村西方位</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64.45</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34</w:t>
            </w:r>
          </w:p>
        </w:tc>
        <w:tc>
          <w:tcPr>
            <w:tcW w:w="878"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XJ14</w:t>
            </w:r>
          </w:p>
        </w:tc>
        <w:tc>
          <w:tcPr>
            <w:tcW w:w="305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总硬度</w:t>
            </w:r>
          </w:p>
        </w:tc>
        <w:tc>
          <w:tcPr>
            <w:tcW w:w="177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满城区满城镇中佃庄村南方位</w:t>
            </w:r>
          </w:p>
        </w:tc>
        <w:tc>
          <w:tcPr>
            <w:tcW w:w="804"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Ⅱ组</w:t>
            </w:r>
          </w:p>
        </w:tc>
        <w:tc>
          <w:tcPr>
            <w:tcW w:w="749" w:type="dxa"/>
            <w:shd w:val="clear" w:color="auto" w:fill="auto"/>
            <w:noWrap/>
            <w:vAlign w:val="center"/>
          </w:tcPr>
          <w:p>
            <w:pPr>
              <w:widowControl/>
              <w:adjustRightInd w:val="0"/>
              <w:snapToGrid w:val="0"/>
              <w:spacing w:line="240" w:lineRule="auto"/>
              <w:ind w:firstLine="0" w:firstLineChars="0"/>
              <w:jc w:val="center"/>
              <w:textAlignment w:val="center"/>
              <w:rPr>
                <w:rFonts w:ascii="宋体" w:hAnsi="宋体" w:cs="宋体"/>
                <w:color w:val="000000"/>
                <w:sz w:val="21"/>
                <w:szCs w:val="21"/>
              </w:rPr>
            </w:pPr>
            <w:r>
              <w:rPr>
                <w:rFonts w:hint="eastAsia" w:ascii="宋体" w:hAnsi="宋体" w:cs="宋体"/>
                <w:color w:val="000000"/>
                <w:kern w:val="0"/>
                <w:sz w:val="21"/>
                <w:szCs w:val="21"/>
                <w:lang w:bidi="ar"/>
              </w:rPr>
              <w:t>68.46</w:t>
            </w:r>
          </w:p>
        </w:tc>
        <w:tc>
          <w:tcPr>
            <w:tcW w:w="1522" w:type="dxa"/>
            <w:shd w:val="clear" w:color="auto" w:fill="auto"/>
            <w:noWrap/>
            <w:vAlign w:val="center"/>
          </w:tcPr>
          <w:p>
            <w:pPr>
              <w:widowControl/>
              <w:adjustRightInd w:val="0"/>
              <w:snapToGrid w:val="0"/>
              <w:spacing w:line="240" w:lineRule="auto"/>
              <w:ind w:firstLine="0" w:firstLineChars="0"/>
              <w:jc w:val="center"/>
              <w:rPr>
                <w:rFonts w:ascii="宋体" w:hAnsi="宋体" w:cs="宋体"/>
                <w:color w:val="000000"/>
                <w:sz w:val="21"/>
                <w:szCs w:val="21"/>
              </w:rPr>
            </w:pPr>
          </w:p>
        </w:tc>
      </w:tr>
    </w:tbl>
    <w:p>
      <w:pPr>
        <w:snapToGrid w:val="0"/>
        <w:ind w:firstLine="560"/>
        <w:rPr>
          <w:szCs w:val="28"/>
        </w:rPr>
      </w:pPr>
      <w:r>
        <w:rPr>
          <w:rFonts w:hint="eastAsia"/>
          <w:szCs w:val="28"/>
        </w:rPr>
        <w:t>③地下水监测及采样点布点原则</w:t>
      </w:r>
    </w:p>
    <w:p>
      <w:pPr>
        <w:ind w:firstLine="560"/>
      </w:pPr>
      <w:r>
        <w:rPr>
          <w:rFonts w:hint="eastAsia"/>
        </w:rPr>
        <w:t>a.</w:t>
      </w:r>
      <w:r>
        <w:t>有效性原则。监测井设置应可有效监控污染羽范围和程度。</w:t>
      </w:r>
    </w:p>
    <w:p>
      <w:pPr>
        <w:ind w:firstLine="560"/>
      </w:pPr>
      <w:r>
        <w:rPr>
          <w:rFonts w:hint="eastAsia"/>
        </w:rPr>
        <w:t>b.</w:t>
      </w:r>
      <w:r>
        <w:t>系统性原则。兼顾不同含水层类型和不同层位。</w:t>
      </w:r>
    </w:p>
    <w:p>
      <w:pPr>
        <w:ind w:firstLine="560"/>
      </w:pPr>
      <w:r>
        <w:rPr>
          <w:rFonts w:hint="eastAsia"/>
        </w:rPr>
        <w:t>c.</w:t>
      </w:r>
      <w:r>
        <w:t>多用性原则。现有井与新建井结合，适用于调查、监测和修复。</w:t>
      </w:r>
    </w:p>
    <w:p>
      <w:pPr>
        <w:ind w:firstLine="560"/>
      </w:pPr>
      <w:r>
        <w:rPr>
          <w:rFonts w:hint="eastAsia"/>
        </w:rPr>
        <w:t>d.</w:t>
      </w:r>
      <w:r>
        <w:t>科学性原则。利用科学的方法和手段进行调查和监测。</w:t>
      </w:r>
    </w:p>
    <w:p>
      <w:pPr>
        <w:pStyle w:val="37"/>
        <w:ind w:firstLine="560"/>
        <w:rPr>
          <w:sz w:val="28"/>
        </w:rPr>
      </w:pPr>
      <w:r>
        <w:rPr>
          <w:rFonts w:hint="eastAsia"/>
          <w:sz w:val="28"/>
        </w:rPr>
        <w:t>④地下水监测及采样点布点要求</w:t>
      </w:r>
    </w:p>
    <w:p>
      <w:pPr>
        <w:ind w:firstLine="560"/>
      </w:pPr>
      <w:r>
        <w:rPr>
          <w:rFonts w:hint="eastAsia"/>
        </w:rPr>
        <w:t>a.数量要求。应采用系统布点法加密布设采样点。对于需要划定污染边界范围的区域，采样单元面积不大于 1600 m</w:t>
      </w:r>
      <w:r>
        <w:rPr>
          <w:rFonts w:hint="eastAsia"/>
          <w:vertAlign w:val="superscript"/>
        </w:rPr>
        <w:t>2</w:t>
      </w:r>
      <w:r>
        <w:rPr>
          <w:rFonts w:hint="eastAsia"/>
        </w:rPr>
        <w:t>。</w:t>
      </w:r>
    </w:p>
    <w:p>
      <w:pPr>
        <w:ind w:firstLine="560"/>
      </w:pPr>
      <w:r>
        <w:rPr>
          <w:rFonts w:hint="eastAsia"/>
        </w:rPr>
        <w:t>b.位置要求。污染源区应设置地下水背景井和监测井。背景井应设置在与调查区水文地质条件相类似的地下水上游、未污染的区域；监测井应设置在污染源区内。对现有可能受地下水污染的饮用水井和和间隔根据初步采样的结果判断。</w:t>
      </w:r>
    </w:p>
    <w:p>
      <w:pPr>
        <w:ind w:firstLine="560"/>
      </w:pPr>
      <w:r>
        <w:rPr>
          <w:rFonts w:hint="eastAsia"/>
        </w:rPr>
        <w:t>c.布点方式要求。地下水污染详细调查监测井的布设应考虑场地地下水流向、污染源区的分布和污染物迁移能力等，采用点线面结合的方法进行布设，可采用网格式、随机定点或辐射式等布点方法。对于低渗透性含水层，在布点时应采用辐射布点法。</w:t>
      </w:r>
    </w:p>
    <w:p>
      <w:pPr>
        <w:ind w:firstLine="560"/>
      </w:pPr>
      <w:r>
        <w:rPr>
          <w:rFonts w:hint="eastAsia"/>
        </w:rPr>
        <w:t>d.</w:t>
      </w:r>
      <w:r>
        <w:t>结合地下水污染概念模型，选择适宜的模型，采用数值模拟的方法，模拟地下水污染空间分布状态，对布点方案进行优化。</w:t>
      </w:r>
    </w:p>
    <w:p>
      <w:pPr>
        <w:ind w:firstLine="560"/>
      </w:pPr>
      <w:r>
        <w:rPr>
          <w:rFonts w:hint="eastAsia"/>
        </w:rPr>
        <w:t>e.</w:t>
      </w:r>
      <w:r>
        <w:t>基于污染羽流空间分布的初步估算进行布点。</w:t>
      </w:r>
    </w:p>
    <w:p>
      <w:pPr>
        <w:ind w:firstLine="560"/>
      </w:pPr>
      <w:r>
        <w:t>污染羽流纵向布点：根据污染物排放时间、地下水流向和流速，初步估算地下水污染羽流的长度（长度=渗透速度/有效孔隙度×时间），在污染羽流下游边界处布设监测点。</w:t>
      </w:r>
    </w:p>
    <w:p>
      <w:pPr>
        <w:ind w:firstLine="560"/>
      </w:pPr>
      <w:r>
        <w:t>污染羽流横向布点：对于水文地质条件较为简单的松散地层，可以按照污染羽流宽度和长度之比为0.3-0.5的原则初步确定污染羽流的宽度，在羽流轴向上增加1-2行横向取样点。</w:t>
      </w:r>
    </w:p>
    <w:p>
      <w:pPr>
        <w:ind w:firstLine="560"/>
      </w:pPr>
      <w:r>
        <w:t>污染羽流垂向布点：对于厚度小于</w:t>
      </w:r>
      <w:r>
        <w:rPr>
          <w:rFonts w:hint="eastAsia"/>
        </w:rPr>
        <w:t>6</w:t>
      </w:r>
      <w:r>
        <w:t>m的污染含水层（组），一般可不分层（组）采样；对于厚度大于</w:t>
      </w:r>
      <w:r>
        <w:rPr>
          <w:rFonts w:hint="eastAsia"/>
        </w:rPr>
        <w:t>6</w:t>
      </w:r>
      <w:r>
        <w:t>m的含水层（组），</w:t>
      </w:r>
      <w:r>
        <w:rPr>
          <w:rFonts w:hint="eastAsia"/>
        </w:rPr>
        <w:t>应根据调查区含水层的水力条件、污染物的种类和性质，确定具体的采样方式，原则上要求分层采样。</w:t>
      </w:r>
    </w:p>
    <w:p>
      <w:pPr>
        <w:pStyle w:val="37"/>
        <w:ind w:firstLine="560"/>
      </w:pPr>
      <w:r>
        <w:rPr>
          <w:rFonts w:hint="eastAsia"/>
          <w:sz w:val="28"/>
          <w:szCs w:val="28"/>
        </w:rPr>
        <w:t>（2）区域性控制调查</w:t>
      </w:r>
    </w:p>
    <w:p>
      <w:pPr>
        <w:pStyle w:val="62"/>
        <w:spacing w:before="156" w:after="156"/>
        <w:ind w:firstLine="480"/>
        <w:jc w:val="left"/>
        <w:rPr>
          <w:b w:val="0"/>
          <w:bCs w:val="0"/>
          <w:sz w:val="28"/>
          <w:szCs w:val="28"/>
        </w:rPr>
      </w:pPr>
      <w:r>
        <w:rPr>
          <w:rFonts w:hint="eastAsia"/>
          <w:b w:val="0"/>
          <w:bCs w:val="0"/>
          <w:sz w:val="28"/>
          <w:szCs w:val="28"/>
        </w:rPr>
        <w:t>在重点区调查范围以外，一亩泉水源地保护区范围内的其他区域开展区域补充性控制调查，调查面积108.11km</w:t>
      </w:r>
      <w:r>
        <w:rPr>
          <w:rFonts w:hint="eastAsia"/>
          <w:b w:val="0"/>
          <w:bCs w:val="0"/>
          <w:sz w:val="28"/>
          <w:szCs w:val="28"/>
          <w:vertAlign w:val="superscript"/>
        </w:rPr>
        <w:t>2</w:t>
      </w:r>
      <w:r>
        <w:rPr>
          <w:rFonts w:hint="eastAsia"/>
          <w:b w:val="0"/>
          <w:bCs w:val="0"/>
          <w:sz w:val="28"/>
          <w:szCs w:val="28"/>
        </w:rPr>
        <w:t>，工作精度不低于1:10000。查明一亩泉准保护区及部分二级保护区内的地下水环境质量及污染现状。并开展地下水环境监测点布设和样品采集。</w:t>
      </w:r>
    </w:p>
    <w:p>
      <w:pPr>
        <w:pStyle w:val="62"/>
        <w:spacing w:before="156" w:after="156"/>
        <w:ind w:firstLine="480"/>
        <w:jc w:val="left"/>
        <w:rPr>
          <w:b w:val="0"/>
          <w:bCs w:val="0"/>
          <w:sz w:val="28"/>
          <w:szCs w:val="28"/>
        </w:rPr>
      </w:pPr>
      <w:r>
        <w:rPr>
          <w:rFonts w:hint="eastAsia"/>
          <w:b w:val="0"/>
          <w:bCs w:val="0"/>
          <w:sz w:val="28"/>
          <w:szCs w:val="28"/>
        </w:rPr>
        <w:t>监测点布设应结合水文地质条件，通过近三年内收集的水文地质资料或开展地球物理勘探明确地下水流向，对于水文地质条件复杂或存在于多个水文地质单元的调查对象要根据实际情况，增加监测点数量；监测点主要布设在污染源周边、污染区、周围环境敏感点（如地下水集中和分散式饮用水源地）附近等；尽量利用现有监测点，现有监测点不能满足要求的，再新建监测井。</w:t>
      </w:r>
    </w:p>
    <w:p>
      <w:pPr>
        <w:pStyle w:val="37"/>
        <w:ind w:firstLine="560"/>
        <w:rPr>
          <w:sz w:val="28"/>
          <w:szCs w:val="28"/>
        </w:rPr>
      </w:pPr>
      <w:r>
        <w:rPr>
          <w:rFonts w:hint="eastAsia"/>
          <w:sz w:val="28"/>
          <w:szCs w:val="28"/>
        </w:rPr>
        <w:t>（3）场地特征参数调查</w:t>
      </w:r>
    </w:p>
    <w:p>
      <w:pPr>
        <w:ind w:firstLine="560"/>
      </w:pPr>
      <w:r>
        <w:t>调查和收集的场地特征参数主要包括：不同代表位置和土层或选定土层的土壤样品的理化性质分析数据，如土壤pH值、容重、有机碳含量、含水率和质地等；调查区域（所在地）气象水文，如水文降水量、蒸发量、温度、风向风速、地表水体特性等；调查区域水文地质参数，如含水层岩性、结构、空间分布、水力性质、水动力学特征、地下水埋深、污染源与饮用水源距离、污染源与地表水体或湿地的距离、地表水体分类及当前利用情况等。</w:t>
      </w:r>
    </w:p>
    <w:p>
      <w:pPr>
        <w:pStyle w:val="37"/>
        <w:ind w:firstLine="560"/>
        <w:rPr>
          <w:sz w:val="28"/>
          <w:szCs w:val="28"/>
        </w:rPr>
      </w:pPr>
      <w:r>
        <w:rPr>
          <w:rFonts w:hint="eastAsia"/>
          <w:sz w:val="28"/>
          <w:szCs w:val="28"/>
        </w:rPr>
        <w:t>（4）受体暴露参数调查</w:t>
      </w:r>
    </w:p>
    <w:p>
      <w:pPr>
        <w:ind w:firstLine="560"/>
      </w:pPr>
      <w:r>
        <w:t>调查和收集的受体暴露参数主要包括：污染地区土地利用方式；评价区人口数量、人口分布、人口年龄和人口流动情况；评价区人群用水类型、地下水用途及占比及建筑物等相关信息，详细参见《地下水健康风险评估工作指南》。</w:t>
      </w:r>
    </w:p>
    <w:p>
      <w:pPr>
        <w:pStyle w:val="6"/>
        <w:spacing w:before="156" w:after="156"/>
        <w:ind w:firstLine="562"/>
      </w:pPr>
      <w:r>
        <w:rPr>
          <w:rFonts w:hint="eastAsia"/>
        </w:rPr>
        <w:t>4.2.3 钻探</w:t>
      </w:r>
    </w:p>
    <w:p>
      <w:pPr>
        <w:pStyle w:val="37"/>
        <w:spacing w:line="360" w:lineRule="auto"/>
        <w:ind w:firstLine="560"/>
        <w:rPr>
          <w:sz w:val="28"/>
          <w:szCs w:val="28"/>
        </w:rPr>
      </w:pPr>
      <w:r>
        <w:rPr>
          <w:rFonts w:hint="eastAsia"/>
          <w:sz w:val="28"/>
          <w:szCs w:val="28"/>
        </w:rPr>
        <w:t>（1）水文地质钻探</w:t>
      </w:r>
    </w:p>
    <w:p>
      <w:pPr>
        <w:pStyle w:val="37"/>
        <w:spacing w:line="360" w:lineRule="auto"/>
        <w:ind w:firstLine="560"/>
        <w:rPr>
          <w:sz w:val="28"/>
          <w:szCs w:val="28"/>
          <w:highlight w:val="yellow"/>
        </w:rPr>
      </w:pPr>
      <w:r>
        <w:rPr>
          <w:rFonts w:hint="eastAsia"/>
          <w:sz w:val="28"/>
          <w:szCs w:val="28"/>
        </w:rPr>
        <w:t>在发现污染点周边布设水文地质钻探，以查清污染范围，为场地污染风险评估提供基础支撑。根据《地下水环境状况调查评价工作指南》（环办土壤函[2019]770号）规定，在重点工作区内8处健康风险不可控或致癌监测点区开展详细调查，根据此前调查成果，8处监测点均为孔隙水，周边存在农业污染源或加油站，据此确定这8处监测点按照每处监测井3眼进行布设；其余26处存在地下水污染的监测点，依托周边农灌井和已有监测井，再新建监测井1-2眼，平均按照1</w:t>
      </w:r>
      <w:r>
        <w:rPr>
          <w:sz w:val="28"/>
          <w:szCs w:val="28"/>
        </w:rPr>
        <w:t>.5</w:t>
      </w:r>
      <w:r>
        <w:rPr>
          <w:rFonts w:hint="eastAsia"/>
          <w:sz w:val="28"/>
          <w:szCs w:val="28"/>
        </w:rPr>
        <w:t>眼新建监测井1</w:t>
      </w:r>
      <w:r>
        <w:rPr>
          <w:sz w:val="28"/>
          <w:szCs w:val="28"/>
        </w:rPr>
        <w:t>.5</w:t>
      </w:r>
      <w:r>
        <w:rPr>
          <w:rFonts w:hint="eastAsia"/>
          <w:sz w:val="28"/>
          <w:szCs w:val="28"/>
        </w:rPr>
        <w:t>眼设计，总计预计新建监测井63眼。按照本区含水层特征，第一第二含水层主体取水层位在1</w:t>
      </w:r>
      <w:r>
        <w:rPr>
          <w:sz w:val="28"/>
          <w:szCs w:val="28"/>
        </w:rPr>
        <w:t>00</w:t>
      </w:r>
      <w:r>
        <w:rPr>
          <w:rFonts w:hint="eastAsia"/>
          <w:sz w:val="28"/>
          <w:szCs w:val="28"/>
        </w:rPr>
        <w:t>m以浅，参考初调时监测孔结构，确定新建监测井单孔深度为70m，总进尺4410米，钻孔成井孔径不小于200mm。根据地下水监测井建设规范要求，水文地质钻探均需开展测井，测井指标包括电阻率、自然电位、自然伽马、井斜、井径、三侧向测井六参数，测井进尺总计为4410米。</w:t>
      </w:r>
    </w:p>
    <w:p>
      <w:pPr>
        <w:pStyle w:val="37"/>
        <w:spacing w:line="360" w:lineRule="auto"/>
        <w:ind w:firstLine="560"/>
        <w:rPr>
          <w:sz w:val="28"/>
          <w:szCs w:val="28"/>
        </w:rPr>
      </w:pPr>
      <w:r>
        <w:rPr>
          <w:rFonts w:hint="eastAsia"/>
          <w:sz w:val="28"/>
          <w:szCs w:val="28"/>
        </w:rPr>
        <w:t>（2）工程地质钻探</w:t>
      </w:r>
    </w:p>
    <w:p>
      <w:pPr>
        <w:pStyle w:val="37"/>
        <w:spacing w:line="360" w:lineRule="auto"/>
        <w:ind w:firstLine="560"/>
        <w:rPr>
          <w:sz w:val="28"/>
          <w:szCs w:val="28"/>
        </w:rPr>
      </w:pPr>
      <w:r>
        <w:rPr>
          <w:rFonts w:hint="eastAsia"/>
          <w:sz w:val="28"/>
          <w:szCs w:val="28"/>
        </w:rPr>
        <w:t>为查清工作区内地层结构，为后期开展三维建模和分析地下水污染运移等，综合分析区内已开展勘探工作，确定还需在区域地层条件复杂地区和地层结构不清的西部和北部地区部署补充工程地质钻探4眼，单孔进尺深度按70m核算，总进尺280m。</w:t>
      </w:r>
    </w:p>
    <w:p>
      <w:pPr>
        <w:pStyle w:val="6"/>
        <w:spacing w:before="156" w:after="156"/>
        <w:ind w:firstLine="562"/>
      </w:pPr>
      <w:r>
        <w:rPr>
          <w:rFonts w:hint="eastAsia"/>
        </w:rPr>
        <w:t>4.2.4 样品采集与测试</w:t>
      </w:r>
    </w:p>
    <w:p>
      <w:pPr>
        <w:ind w:firstLine="560"/>
      </w:pPr>
      <w:r>
        <w:rPr>
          <w:rFonts w:hint="eastAsia"/>
        </w:rPr>
        <w:t>地下水水质样品采集测试工作是本项目实施的重要内容之一，是统一评价工作区地下水质量的基础，是初步评估地下水污染状况的必须工作；地下水</w:t>
      </w:r>
      <w:r>
        <w:rPr>
          <w:rFonts w:cs="Times New Roman"/>
          <w:szCs w:val="28"/>
          <w:vertAlign w:val="superscript"/>
        </w:rPr>
        <w:t>15</w:t>
      </w:r>
      <w:r>
        <w:rPr>
          <w:rFonts w:cs="Times New Roman"/>
          <w:szCs w:val="28"/>
        </w:rPr>
        <w:t>N</w:t>
      </w:r>
      <w:r>
        <w:rPr>
          <w:rFonts w:hint="eastAsia"/>
        </w:rPr>
        <w:t>、</w:t>
      </w:r>
      <w:r>
        <w:rPr>
          <w:rFonts w:cs="Times New Roman"/>
          <w:szCs w:val="28"/>
          <w:vertAlign w:val="superscript"/>
        </w:rPr>
        <w:t>34</w:t>
      </w:r>
      <w:r>
        <w:rPr>
          <w:rFonts w:cs="Times New Roman"/>
          <w:szCs w:val="28"/>
        </w:rPr>
        <w:t>S</w:t>
      </w:r>
      <w:r>
        <w:rPr>
          <w:rFonts w:hint="eastAsia" w:cs="Times New Roman"/>
          <w:szCs w:val="28"/>
        </w:rPr>
        <w:t>的采集测试，意在通过分析其在不同地下水环境中的富集程度，识别地下水中</w:t>
      </w:r>
      <w:r>
        <w:rPr>
          <w:rFonts w:cs="Times New Roman"/>
          <w:szCs w:val="28"/>
        </w:rPr>
        <w:t>N</w:t>
      </w:r>
      <w:r>
        <w:rPr>
          <w:rFonts w:hint="eastAsia" w:cs="Times New Roman"/>
          <w:szCs w:val="28"/>
        </w:rPr>
        <w:t>O</w:t>
      </w:r>
      <w:r>
        <w:rPr>
          <w:rFonts w:cs="Times New Roman"/>
          <w:szCs w:val="28"/>
          <w:vertAlign w:val="subscript"/>
        </w:rPr>
        <w:t>3</w:t>
      </w:r>
      <w:r>
        <w:rPr>
          <w:rFonts w:cs="Times New Roman"/>
          <w:szCs w:val="28"/>
          <w:vertAlign w:val="superscript"/>
        </w:rPr>
        <w:t>-</w:t>
      </w:r>
      <w:r>
        <w:rPr>
          <w:rFonts w:hint="eastAsia" w:cs="Times New Roman"/>
          <w:szCs w:val="28"/>
        </w:rPr>
        <w:t>、SO</w:t>
      </w:r>
      <w:r>
        <w:rPr>
          <w:rFonts w:cs="Times New Roman"/>
          <w:szCs w:val="28"/>
          <w:vertAlign w:val="subscript"/>
        </w:rPr>
        <w:t>4</w:t>
      </w:r>
      <w:r>
        <w:rPr>
          <w:rFonts w:cs="Times New Roman"/>
          <w:szCs w:val="28"/>
          <w:vertAlign w:val="superscript"/>
        </w:rPr>
        <w:t>2-</w:t>
      </w:r>
      <w:r>
        <w:rPr>
          <w:rFonts w:hint="eastAsia" w:cs="Times New Roman"/>
          <w:szCs w:val="28"/>
        </w:rPr>
        <w:t>等主要污染物来源及迁移转化途径，为后续工作区地下水污染防治提供技术支撑；</w:t>
      </w:r>
      <w:r>
        <w:rPr>
          <w:rFonts w:hint="eastAsia"/>
        </w:rPr>
        <w:t>土壤样品的采集测试，意在确定地表土壤环境质量状况，查明因土壤污染而引起地下水污染的可能性；岩石样品的采集测试，主要为分析查明工作区地下水中主要离子来源，区分地下水中离子组份的天然或人为影响因素。</w:t>
      </w:r>
    </w:p>
    <w:p>
      <w:pPr>
        <w:snapToGrid w:val="0"/>
        <w:ind w:firstLine="560"/>
        <w:rPr>
          <w:rFonts w:cs="Times New Roman"/>
          <w:szCs w:val="28"/>
        </w:rPr>
      </w:pPr>
      <w:r>
        <w:rPr>
          <w:rFonts w:cs="Times New Roman"/>
          <w:szCs w:val="28"/>
        </w:rPr>
        <w:t>（1）地下水样品采集与测试</w:t>
      </w:r>
    </w:p>
    <w:p>
      <w:pPr>
        <w:snapToGrid w:val="0"/>
        <w:ind w:firstLine="560"/>
        <w:rPr>
          <w:rFonts w:cs="Times New Roman"/>
          <w:szCs w:val="28"/>
        </w:rPr>
      </w:pPr>
      <w:r>
        <w:rPr>
          <w:rFonts w:cs="Times New Roman"/>
          <w:szCs w:val="28"/>
        </w:rPr>
        <w:t>①区域上按照</w:t>
      </w:r>
      <w:r>
        <w:rPr>
          <w:rFonts w:hint="eastAsia" w:cs="Times New Roman"/>
          <w:szCs w:val="28"/>
        </w:rPr>
        <w:t>规范控制采样，</w:t>
      </w:r>
      <w:r>
        <w:rPr>
          <w:rFonts w:cs="Times New Roman"/>
          <w:szCs w:val="28"/>
        </w:rPr>
        <w:t>共计部署40处采样点。每处采样频次为丰水期和枯水期各一次，两年共计4次，共计采样160点次。按照规范要求，平行样、质控样各10%进行质量控制采样，样品测试共计192组。测试地下水质量常规指标共39项。（测试依据《地下水质量标准》（GB/T 14848-2017））</w:t>
      </w:r>
    </w:p>
    <w:p>
      <w:pPr>
        <w:snapToGrid w:val="0"/>
        <w:ind w:firstLine="560"/>
        <w:rPr>
          <w:rFonts w:cs="Times New Roman"/>
          <w:szCs w:val="28"/>
        </w:rPr>
      </w:pPr>
      <w:r>
        <w:rPr>
          <w:rFonts w:cs="Times New Roman"/>
          <w:szCs w:val="28"/>
        </w:rPr>
        <w:t>②</w:t>
      </w:r>
      <w:r>
        <w:rPr>
          <w:rFonts w:hint="eastAsia" w:cs="Times New Roman"/>
          <w:szCs w:val="28"/>
        </w:rPr>
        <w:t>依托34处污染监测点周边新建监测井和已有监测井，并选择临近农灌井开展水样采集，</w:t>
      </w:r>
      <w:r>
        <w:rPr>
          <w:rFonts w:cs="Times New Roman"/>
          <w:szCs w:val="28"/>
        </w:rPr>
        <w:t>共计部署170处采样点。采样频次为每季度各一次，两年共计8次，共计采样1360点次；按照规范要求，平行样、质控样各10%进行质量控制采样，样品测试共计1632组，测试地下水质量必测指标和选测指标。（测试依据《地下水质量标准》（GB/T 14848-2017））。</w:t>
      </w:r>
    </w:p>
    <w:p>
      <w:pPr>
        <w:snapToGrid w:val="0"/>
        <w:ind w:firstLine="560"/>
        <w:rPr>
          <w:rFonts w:cs="Times New Roman"/>
          <w:szCs w:val="28"/>
        </w:rPr>
      </w:pPr>
      <w:r>
        <w:rPr>
          <w:rFonts w:cs="Times New Roman"/>
          <w:szCs w:val="28"/>
        </w:rPr>
        <w:t>③根据发现地下水污染物特征，开展地下水同位素采样，主要测试指标为硝酸盐δ</w:t>
      </w:r>
      <w:r>
        <w:rPr>
          <w:rFonts w:cs="Times New Roman"/>
          <w:szCs w:val="28"/>
          <w:vertAlign w:val="superscript"/>
        </w:rPr>
        <w:t>15</w:t>
      </w:r>
      <w:r>
        <w:rPr>
          <w:rFonts w:cs="Times New Roman"/>
          <w:szCs w:val="28"/>
        </w:rPr>
        <w:t>N同位素，硫酸盐δ</w:t>
      </w:r>
      <w:r>
        <w:rPr>
          <w:rFonts w:cs="Times New Roman"/>
          <w:szCs w:val="28"/>
          <w:vertAlign w:val="superscript"/>
        </w:rPr>
        <w:t>34</w:t>
      </w:r>
      <w:r>
        <w:rPr>
          <w:rFonts w:cs="Times New Roman"/>
          <w:szCs w:val="28"/>
        </w:rPr>
        <w:t>S同位素，δD、δ</w:t>
      </w:r>
      <w:r>
        <w:rPr>
          <w:rFonts w:cs="Times New Roman"/>
          <w:szCs w:val="28"/>
          <w:vertAlign w:val="superscript"/>
        </w:rPr>
        <w:t>18</w:t>
      </w:r>
      <w:r>
        <w:rPr>
          <w:rFonts w:cs="Times New Roman"/>
          <w:szCs w:val="28"/>
        </w:rPr>
        <w:t>O同位素。</w:t>
      </w:r>
    </w:p>
    <w:p>
      <w:pPr>
        <w:snapToGrid w:val="0"/>
        <w:ind w:firstLine="560"/>
        <w:rPr>
          <w:rFonts w:cs="Times New Roman"/>
          <w:szCs w:val="28"/>
        </w:rPr>
      </w:pPr>
      <w:r>
        <w:rPr>
          <w:rFonts w:cs="Times New Roman"/>
          <w:szCs w:val="28"/>
        </w:rPr>
        <w:t>硝酸盐δ</w:t>
      </w:r>
      <w:r>
        <w:rPr>
          <w:rFonts w:cs="Times New Roman"/>
          <w:szCs w:val="28"/>
          <w:vertAlign w:val="superscript"/>
        </w:rPr>
        <w:t>15</w:t>
      </w:r>
      <w:r>
        <w:rPr>
          <w:rFonts w:cs="Times New Roman"/>
          <w:szCs w:val="28"/>
        </w:rPr>
        <w:t>N同位素和硫酸盐δ</w:t>
      </w:r>
      <w:r>
        <w:rPr>
          <w:rFonts w:cs="Times New Roman"/>
          <w:szCs w:val="28"/>
          <w:vertAlign w:val="superscript"/>
        </w:rPr>
        <w:t>34</w:t>
      </w:r>
      <w:r>
        <w:rPr>
          <w:rFonts w:cs="Times New Roman"/>
          <w:szCs w:val="28"/>
        </w:rPr>
        <w:t>S同位素用于</w:t>
      </w:r>
      <w:r>
        <w:rPr>
          <w:rFonts w:hint="eastAsia" w:cs="Times New Roman"/>
          <w:szCs w:val="28"/>
        </w:rPr>
        <w:t>分析</w:t>
      </w:r>
      <w:r>
        <w:rPr>
          <w:rFonts w:cs="Times New Roman"/>
          <w:szCs w:val="28"/>
        </w:rPr>
        <w:t>地下水中硝酸盐及硫酸盐物质来源，硝酸盐δ</w:t>
      </w:r>
      <w:r>
        <w:rPr>
          <w:rFonts w:cs="Times New Roman"/>
          <w:szCs w:val="28"/>
          <w:vertAlign w:val="superscript"/>
        </w:rPr>
        <w:t>15</w:t>
      </w:r>
      <w:r>
        <w:rPr>
          <w:rFonts w:cs="Times New Roman"/>
          <w:szCs w:val="28"/>
        </w:rPr>
        <w:t>N样品主要布设在地下水污染点周边、区内农业污染区及人口集中区；共计部署80组；硫酸盐δ</w:t>
      </w:r>
      <w:r>
        <w:rPr>
          <w:rFonts w:cs="Times New Roman"/>
          <w:szCs w:val="28"/>
          <w:vertAlign w:val="superscript"/>
        </w:rPr>
        <w:t>34</w:t>
      </w:r>
      <w:r>
        <w:rPr>
          <w:rFonts w:cs="Times New Roman"/>
          <w:szCs w:val="28"/>
        </w:rPr>
        <w:t>S样品主要布设在丘陵采矿区及人口集中区，共计部署80组，δD、δ</w:t>
      </w:r>
      <w:r>
        <w:rPr>
          <w:rFonts w:cs="Times New Roman"/>
          <w:szCs w:val="28"/>
          <w:vertAlign w:val="superscript"/>
        </w:rPr>
        <w:t>18</w:t>
      </w:r>
      <w:r>
        <w:rPr>
          <w:rFonts w:cs="Times New Roman"/>
          <w:szCs w:val="28"/>
        </w:rPr>
        <w:t>O用于研究分析地下水来源和补给条件等，共计部署160组。采样频次为丰水期和枯水期各一次。</w:t>
      </w:r>
    </w:p>
    <w:p>
      <w:pPr>
        <w:snapToGrid w:val="0"/>
        <w:ind w:firstLine="560"/>
        <w:rPr>
          <w:rFonts w:cs="Times New Roman"/>
          <w:szCs w:val="28"/>
        </w:rPr>
      </w:pPr>
      <w:r>
        <w:rPr>
          <w:rFonts w:cs="Times New Roman"/>
          <w:szCs w:val="28"/>
        </w:rPr>
        <w:t>(2)</w:t>
      </w:r>
      <w:r>
        <w:rPr>
          <w:rFonts w:hint="eastAsia" w:cs="Times New Roman"/>
          <w:szCs w:val="28"/>
        </w:rPr>
        <w:t>岩土</w:t>
      </w:r>
      <w:r>
        <w:rPr>
          <w:rFonts w:cs="Times New Roman"/>
          <w:szCs w:val="28"/>
        </w:rPr>
        <w:t>样品采集与测试</w:t>
      </w:r>
    </w:p>
    <w:p>
      <w:pPr>
        <w:snapToGrid w:val="0"/>
        <w:ind w:firstLine="560"/>
        <w:rPr>
          <w:rFonts w:cs="Times New Roman"/>
          <w:szCs w:val="28"/>
        </w:rPr>
      </w:pPr>
      <w:r>
        <w:rPr>
          <w:rFonts w:hint="eastAsia" w:cs="Times New Roman"/>
          <w:szCs w:val="28"/>
        </w:rPr>
        <w:t xml:space="preserve">① </w:t>
      </w:r>
      <w:r>
        <w:rPr>
          <w:rFonts w:cs="Times New Roman"/>
          <w:szCs w:val="28"/>
        </w:rPr>
        <w:t>采集土壤样品</w:t>
      </w:r>
      <w:r>
        <w:rPr>
          <w:rFonts w:hint="eastAsia" w:cs="Times New Roman"/>
          <w:szCs w:val="28"/>
        </w:rPr>
        <w:t>240</w:t>
      </w:r>
      <w:r>
        <w:rPr>
          <w:rFonts w:cs="Times New Roman"/>
          <w:szCs w:val="28"/>
        </w:rPr>
        <w:t>组，其中，表层土壤样品</w:t>
      </w:r>
      <w:r>
        <w:rPr>
          <w:rFonts w:hint="eastAsia" w:cs="Times New Roman"/>
          <w:szCs w:val="28"/>
        </w:rPr>
        <w:t>120</w:t>
      </w:r>
      <w:r>
        <w:rPr>
          <w:rFonts w:cs="Times New Roman"/>
          <w:szCs w:val="28"/>
        </w:rPr>
        <w:t>组，</w:t>
      </w:r>
      <w:r>
        <w:rPr>
          <w:rFonts w:hint="eastAsia" w:cs="Times New Roman"/>
          <w:szCs w:val="28"/>
        </w:rPr>
        <w:t>在新建监测井采集</w:t>
      </w:r>
      <w:r>
        <w:rPr>
          <w:rFonts w:cs="Times New Roman"/>
          <w:szCs w:val="28"/>
        </w:rPr>
        <w:t>包气带不同深度土壤样</w:t>
      </w:r>
      <w:r>
        <w:rPr>
          <w:rFonts w:hint="eastAsia" w:cs="Times New Roman"/>
          <w:szCs w:val="28"/>
        </w:rPr>
        <w:t>共计</w:t>
      </w:r>
      <w:r>
        <w:rPr>
          <w:rFonts w:cs="Times New Roman"/>
          <w:szCs w:val="28"/>
        </w:rPr>
        <w:t>120组。主要布设在1:</w:t>
      </w:r>
      <w:r>
        <w:rPr>
          <w:rFonts w:hint="eastAsia" w:cs="Times New Roman"/>
          <w:szCs w:val="28"/>
        </w:rPr>
        <w:t>2</w:t>
      </w:r>
      <w:r>
        <w:rPr>
          <w:rFonts w:cs="Times New Roman"/>
          <w:szCs w:val="28"/>
        </w:rPr>
        <w:t>000重点详查区，1:10000控制性区域酌情采集土壤背景值点。按照规范要求，</w:t>
      </w:r>
      <w:r>
        <w:rPr>
          <w:rFonts w:hint="eastAsia" w:cs="Times New Roman"/>
          <w:szCs w:val="28"/>
        </w:rPr>
        <w:t>按照</w:t>
      </w:r>
      <w:r>
        <w:rPr>
          <w:rFonts w:cs="Times New Roman"/>
          <w:szCs w:val="28"/>
        </w:rPr>
        <w:t>平行样、质控样</w:t>
      </w:r>
      <w:r>
        <w:rPr>
          <w:rFonts w:hint="eastAsia" w:cs="Times New Roman"/>
          <w:szCs w:val="28"/>
        </w:rPr>
        <w:t>各</w:t>
      </w:r>
      <w:r>
        <w:rPr>
          <w:rFonts w:cs="Times New Roman"/>
          <w:szCs w:val="28"/>
        </w:rPr>
        <w:t>10%进行质量控制采样，样品测试共计</w:t>
      </w:r>
      <w:r>
        <w:rPr>
          <w:rFonts w:hint="eastAsia" w:cs="Times New Roman"/>
          <w:szCs w:val="28"/>
        </w:rPr>
        <w:t>288</w:t>
      </w:r>
      <w:r>
        <w:rPr>
          <w:rFonts w:cs="Times New Roman"/>
          <w:szCs w:val="28"/>
        </w:rPr>
        <w:t>组</w:t>
      </w:r>
      <w:r>
        <w:rPr>
          <w:rFonts w:hint="eastAsia" w:cs="Times New Roman"/>
          <w:szCs w:val="28"/>
        </w:rPr>
        <w:t>。</w:t>
      </w:r>
      <w:r>
        <w:rPr>
          <w:rFonts w:cs="Times New Roman"/>
          <w:szCs w:val="28"/>
        </w:rPr>
        <w:t>测试指标</w:t>
      </w:r>
      <w:r>
        <w:rPr>
          <w:rFonts w:hint="eastAsia" w:cs="Times New Roman"/>
          <w:szCs w:val="28"/>
        </w:rPr>
        <w:t>包括</w:t>
      </w:r>
      <w:r>
        <w:rPr>
          <w:rFonts w:cs="Times New Roman"/>
          <w:szCs w:val="28"/>
        </w:rPr>
        <w:t>土壤含水量、土壤酸碱度、可溶盐、氧化还原电位、土壤颗粒级配、土壤有机质含量、滴滴涕（总量）、六六六（总量）、总石油烃(C10-C40)</w:t>
      </w:r>
      <w:r>
        <w:rPr>
          <w:rFonts w:hint="eastAsia" w:cs="Times New Roman"/>
          <w:szCs w:val="28"/>
        </w:rPr>
        <w:t>、</w:t>
      </w:r>
      <w:r>
        <w:rPr>
          <w:rFonts w:cs="Times New Roman"/>
          <w:szCs w:val="28"/>
        </w:rPr>
        <w:t>镉、汞、砷、铜、铅、</w:t>
      </w:r>
      <w:r>
        <w:rPr>
          <w:rFonts w:hint="eastAsia" w:cs="Times New Roman"/>
          <w:szCs w:val="28"/>
        </w:rPr>
        <w:t>六价</w:t>
      </w:r>
      <w:r>
        <w:rPr>
          <w:rFonts w:cs="Times New Roman"/>
          <w:szCs w:val="28"/>
        </w:rPr>
        <w:t>铬、锌、镍、</w:t>
      </w:r>
      <w:r>
        <w:rPr>
          <w:rFonts w:hint="eastAsia" w:cs="Times New Roman"/>
          <w:szCs w:val="28"/>
        </w:rPr>
        <w:t>锰、硒、</w:t>
      </w:r>
      <w:r>
        <w:rPr>
          <w:rFonts w:cs="Times New Roman"/>
          <w:szCs w:val="28"/>
        </w:rPr>
        <w:t>总磷（TP）、总氮（TN）、氟化物、氰化物</w:t>
      </w:r>
      <w:r>
        <w:rPr>
          <w:rFonts w:hint="eastAsia" w:cs="Times New Roman"/>
          <w:szCs w:val="28"/>
        </w:rPr>
        <w:t>等</w:t>
      </w:r>
      <w:r>
        <w:rPr>
          <w:rFonts w:cs="Times New Roman"/>
          <w:szCs w:val="28"/>
        </w:rPr>
        <w:t>。</w:t>
      </w:r>
    </w:p>
    <w:p>
      <w:pPr>
        <w:snapToGrid w:val="0"/>
        <w:ind w:firstLine="560"/>
      </w:pPr>
      <w:r>
        <w:rPr>
          <w:rFonts w:hint="eastAsia" w:cs="Times New Roman"/>
          <w:szCs w:val="28"/>
        </w:rPr>
        <w:t>② 岩心样品采集。按照从补给区到径流排泄区，共计选择3眼钻孔，开展岩心样品采集，开展释光测年、孢粉分析、古地磁等测试，为精确划分区域含水层结构提供支撑。根据区内地层结构，确定释光测年和孢粉分析按照20组/眼钻孔取样，古地磁按照1组/0.5米取样，3眼井共计开展释光测年取样60组，孢粉分析60组，古地磁420组。</w:t>
      </w:r>
    </w:p>
    <w:p>
      <w:pPr>
        <w:numPr>
          <w:ilvl w:val="0"/>
          <w:numId w:val="4"/>
        </w:numPr>
        <w:snapToGrid w:val="0"/>
        <w:ind w:firstLine="560"/>
        <w:rPr>
          <w:rFonts w:cs="Times New Roman"/>
          <w:szCs w:val="28"/>
        </w:rPr>
      </w:pPr>
      <w:r>
        <w:rPr>
          <w:rFonts w:cs="Times New Roman"/>
          <w:szCs w:val="28"/>
        </w:rPr>
        <w:t>现场测试</w:t>
      </w:r>
    </w:p>
    <w:p>
      <w:pPr>
        <w:snapToGrid w:val="0"/>
        <w:ind w:firstLine="560"/>
        <w:rPr>
          <w:rFonts w:cs="Times New Roman"/>
          <w:szCs w:val="28"/>
        </w:rPr>
      </w:pPr>
      <w:r>
        <w:rPr>
          <w:rFonts w:cs="Times New Roman"/>
          <w:szCs w:val="28"/>
        </w:rPr>
        <w:t>野外现场测试地下水温度、pH、电导率、</w:t>
      </w:r>
      <w:r>
        <w:rPr>
          <w:rFonts w:hint="eastAsia" w:cs="Times New Roman"/>
          <w:szCs w:val="28"/>
        </w:rPr>
        <w:t>溶解性总固体、</w:t>
      </w:r>
      <w:r>
        <w:rPr>
          <w:rFonts w:cs="Times New Roman"/>
          <w:szCs w:val="28"/>
        </w:rPr>
        <w:t>溶解氧、氧化还原电位和浊度、硝酸盐、亚硝酸盐、氨氮等指标，主要部署在污染场地及水源地等重点详查区，为污染羽圈定提供参考，预期开展300组；</w:t>
      </w:r>
    </w:p>
    <w:p>
      <w:pPr>
        <w:snapToGrid w:val="0"/>
        <w:ind w:firstLine="560"/>
        <w:rPr>
          <w:rFonts w:cs="Times New Roman"/>
          <w:szCs w:val="28"/>
        </w:rPr>
      </w:pPr>
      <w:r>
        <w:rPr>
          <w:rFonts w:cs="Times New Roman"/>
          <w:szCs w:val="28"/>
        </w:rPr>
        <w:t>在污染点和新施工地下水监测井内开展地下水流速流向现场测试，用于精细刻画典型区及场地地下水流场，共计</w:t>
      </w:r>
      <w:r>
        <w:rPr>
          <w:rFonts w:hint="eastAsia" w:cs="Times New Roman"/>
          <w:szCs w:val="28"/>
        </w:rPr>
        <w:t>126</w:t>
      </w:r>
      <w:r>
        <w:rPr>
          <w:rFonts w:cs="Times New Roman"/>
          <w:szCs w:val="28"/>
        </w:rPr>
        <w:t>井次。</w:t>
      </w:r>
    </w:p>
    <w:p>
      <w:pPr>
        <w:pStyle w:val="6"/>
        <w:spacing w:before="156" w:after="156"/>
        <w:ind w:firstLine="562"/>
      </w:pPr>
      <w:r>
        <w:rPr>
          <w:rFonts w:hint="eastAsia"/>
        </w:rPr>
        <w:t>4.2.5 地下水环境状况监测网优化</w:t>
      </w:r>
    </w:p>
    <w:p>
      <w:pPr>
        <w:snapToGrid w:val="0"/>
        <w:ind w:firstLine="560"/>
        <w:rPr>
          <w:rFonts w:cs="Times New Roman"/>
          <w:szCs w:val="28"/>
        </w:rPr>
      </w:pPr>
      <w:r>
        <w:rPr>
          <w:rFonts w:hint="eastAsia" w:cs="Times New Roman"/>
          <w:szCs w:val="28"/>
        </w:rPr>
        <w:t>根据一亩泉水源地保护区和补给区现有地下水位监测点分布基础上，补充新增长期地下水自动水位监测点20处，开展地下水位监测，监测指标包括地</w:t>
      </w:r>
      <w:r>
        <w:rPr>
          <w:rFonts w:cs="Times New Roman"/>
          <w:szCs w:val="28"/>
        </w:rPr>
        <w:t>下水水位、温度、压力等，</w:t>
      </w:r>
      <w:r>
        <w:rPr>
          <w:rFonts w:hint="eastAsia" w:cs="Times New Roman"/>
          <w:szCs w:val="28"/>
        </w:rPr>
        <w:t>地下水位监测点从重点污染源区新建井、背景井和符合条件的农灌井中筛选为主，为后续建模提供基础数据。</w:t>
      </w:r>
    </w:p>
    <w:p>
      <w:pPr>
        <w:snapToGrid w:val="0"/>
        <w:ind w:firstLine="560"/>
        <w:rPr>
          <w:rFonts w:cs="Times New Roman"/>
          <w:szCs w:val="28"/>
        </w:rPr>
      </w:pPr>
      <w:r>
        <w:rPr>
          <w:rFonts w:hint="eastAsia" w:cs="Times New Roman"/>
          <w:szCs w:val="28"/>
        </w:rPr>
        <w:t>在重点污染源区按照20个/100km</w:t>
      </w:r>
      <w:r>
        <w:rPr>
          <w:rFonts w:hint="eastAsia" w:cs="Times New Roman"/>
          <w:szCs w:val="28"/>
          <w:vertAlign w:val="superscript"/>
        </w:rPr>
        <w:t>2</w:t>
      </w:r>
      <w:r>
        <w:rPr>
          <w:rFonts w:hint="eastAsia" w:cs="Times New Roman"/>
          <w:szCs w:val="28"/>
        </w:rPr>
        <w:t>标准，筛选新建井筛选16个，开展</w:t>
      </w:r>
      <w:r>
        <w:rPr>
          <w:rFonts w:cs="Times New Roman"/>
          <w:szCs w:val="28"/>
        </w:rPr>
        <w:t>地下水水质</w:t>
      </w:r>
      <w:r>
        <w:rPr>
          <w:rFonts w:hint="eastAsia" w:cs="Times New Roman"/>
          <w:szCs w:val="28"/>
        </w:rPr>
        <w:t>自动</w:t>
      </w:r>
      <w:r>
        <w:rPr>
          <w:rFonts w:cs="Times New Roman"/>
          <w:szCs w:val="28"/>
        </w:rPr>
        <w:t>监测，</w:t>
      </w:r>
      <w:r>
        <w:rPr>
          <w:rFonts w:hint="eastAsia" w:cs="Times New Roman"/>
          <w:szCs w:val="28"/>
        </w:rPr>
        <w:t>监测指标包括水位、水温、压力、pH、</w:t>
      </w:r>
      <w:r>
        <w:rPr>
          <w:rFonts w:cs="Times New Roman"/>
          <w:szCs w:val="28"/>
        </w:rPr>
        <w:t>电导率、溶解氧</w:t>
      </w:r>
      <w:r>
        <w:rPr>
          <w:rFonts w:hint="eastAsia" w:cs="Times New Roman"/>
          <w:szCs w:val="28"/>
        </w:rPr>
        <w:t>、</w:t>
      </w:r>
      <w:r>
        <w:rPr>
          <w:rFonts w:cs="Times New Roman"/>
          <w:szCs w:val="28"/>
        </w:rPr>
        <w:t>氨氮等。</w:t>
      </w:r>
    </w:p>
    <w:p>
      <w:pPr>
        <w:pStyle w:val="6"/>
        <w:ind w:firstLine="562"/>
        <w:rPr>
          <w:szCs w:val="28"/>
        </w:rPr>
      </w:pPr>
      <w:r>
        <w:rPr>
          <w:rFonts w:hint="eastAsia"/>
          <w:szCs w:val="28"/>
        </w:rPr>
        <w:t>4.2</w:t>
      </w:r>
      <w:r>
        <w:rPr>
          <w:szCs w:val="28"/>
        </w:rPr>
        <w:t>.6 地下水位统测及RTK测量</w:t>
      </w:r>
    </w:p>
    <w:p>
      <w:pPr>
        <w:snapToGrid w:val="0"/>
        <w:ind w:firstLine="560"/>
        <w:rPr>
          <w:rFonts w:cs="Times New Roman"/>
          <w:szCs w:val="28"/>
        </w:rPr>
      </w:pPr>
      <w:r>
        <w:rPr>
          <w:rFonts w:cs="Times New Roman"/>
          <w:szCs w:val="28"/>
        </w:rPr>
        <w:t>地下水位统测采用人工方式，选择前期已有详细含水层结构信息的机民井以及重点污染区施工监测井开展统测，共计208处，采样频次为丰水期和枯水期各一次，两年共计4次，共计832点次；同时在选定测量点位时辅以RTK高精度测量，共计208点次，用以精细刻画地下水流场。</w:t>
      </w:r>
    </w:p>
    <w:p>
      <w:pPr>
        <w:pStyle w:val="6"/>
        <w:ind w:firstLine="562"/>
        <w:rPr>
          <w:szCs w:val="28"/>
        </w:rPr>
      </w:pPr>
      <w:r>
        <w:rPr>
          <w:rFonts w:hint="eastAsia"/>
          <w:szCs w:val="28"/>
        </w:rPr>
        <w:t>4.2</w:t>
      </w:r>
      <w:r>
        <w:rPr>
          <w:szCs w:val="28"/>
        </w:rPr>
        <w:t>.7 水源地及补给区地下水污染解析</w:t>
      </w:r>
    </w:p>
    <w:p>
      <w:pPr>
        <w:snapToGrid w:val="0"/>
        <w:ind w:firstLine="560"/>
        <w:rPr>
          <w:rFonts w:cs="Times New Roman"/>
          <w:szCs w:val="28"/>
        </w:rPr>
      </w:pPr>
      <w:r>
        <w:rPr>
          <w:rFonts w:cs="Times New Roman"/>
          <w:szCs w:val="28"/>
        </w:rPr>
        <w:t xml:space="preserve">（1）地下水污染问题判断 </w:t>
      </w:r>
    </w:p>
    <w:p>
      <w:pPr>
        <w:widowControl/>
        <w:ind w:firstLine="560"/>
        <w:jc w:val="left"/>
        <w:rPr>
          <w:rFonts w:cs="Times New Roman"/>
          <w:szCs w:val="28"/>
        </w:rPr>
      </w:pPr>
      <w:r>
        <w:rPr>
          <w:rFonts w:cs="Times New Roman"/>
          <w:color w:val="000000"/>
          <w:kern w:val="0"/>
          <w:szCs w:val="28"/>
          <w:lang w:bidi="ar"/>
        </w:rPr>
        <w:t>根据调查对象地下水质量评价和污染状况评价结果，排除由地质成因造成的指标异常，针对污染源的特征污染指标，识别地下水污染物种类、浓度（程度）和空间分布等特征。确定调查对象及周边地下水污染主要问题。</w:t>
      </w:r>
    </w:p>
    <w:p>
      <w:pPr>
        <w:widowControl/>
        <w:ind w:firstLine="560"/>
        <w:jc w:val="left"/>
        <w:rPr>
          <w:rFonts w:cs="Times New Roman"/>
          <w:szCs w:val="28"/>
        </w:rPr>
      </w:pPr>
      <w:r>
        <w:rPr>
          <w:rFonts w:cs="Times New Roman"/>
          <w:color w:val="000000"/>
          <w:kern w:val="0"/>
          <w:szCs w:val="28"/>
          <w:lang w:bidi="ar"/>
        </w:rPr>
        <w:t>（2）</w:t>
      </w:r>
      <w:r>
        <w:rPr>
          <w:rFonts w:cs="Times New Roman"/>
          <w:b/>
          <w:bCs/>
          <w:color w:val="000000"/>
          <w:kern w:val="0"/>
          <w:szCs w:val="28"/>
          <w:lang w:bidi="ar"/>
        </w:rPr>
        <w:t xml:space="preserve">地下水污染成因分析 </w:t>
      </w:r>
    </w:p>
    <w:p>
      <w:pPr>
        <w:widowControl/>
        <w:ind w:firstLine="560"/>
        <w:jc w:val="left"/>
        <w:rPr>
          <w:rFonts w:cs="Times New Roman"/>
          <w:color w:val="000000"/>
          <w:kern w:val="0"/>
          <w:szCs w:val="28"/>
          <w:lang w:bidi="ar"/>
        </w:rPr>
      </w:pPr>
      <w:r>
        <w:rPr>
          <w:rFonts w:cs="Times New Roman"/>
          <w:color w:val="000000"/>
          <w:kern w:val="0"/>
          <w:szCs w:val="28"/>
          <w:lang w:bidi="ar"/>
        </w:rPr>
        <w:t>结合资料收集、现场踏勘、勘查成果，根据测试和长期监测数据，分析污染源分布和污染物特性，识别地下水污染分布特征，结合水文地质条件，确定地下水污染的途径和方式，根据地下水污染羽与地下水型饮用水源等敏感受体的空间关系、水力联系等，判断其对下游敏感受体的影响</w:t>
      </w:r>
    </w:p>
    <w:p>
      <w:pPr>
        <w:pStyle w:val="6"/>
        <w:ind w:firstLine="562"/>
        <w:rPr>
          <w:szCs w:val="28"/>
        </w:rPr>
      </w:pPr>
      <w:r>
        <w:rPr>
          <w:rFonts w:hint="eastAsia"/>
          <w:szCs w:val="28"/>
        </w:rPr>
        <w:t>4.2</w:t>
      </w:r>
      <w:r>
        <w:rPr>
          <w:szCs w:val="28"/>
        </w:rPr>
        <w:t>.8 地下水污染趋势模拟预测</w:t>
      </w:r>
    </w:p>
    <w:p>
      <w:pPr>
        <w:snapToGrid w:val="0"/>
        <w:ind w:firstLine="560"/>
        <w:rPr>
          <w:rFonts w:cs="Times New Roman"/>
          <w:szCs w:val="28"/>
        </w:rPr>
      </w:pPr>
      <w:r>
        <w:rPr>
          <w:rFonts w:cs="Times New Roman"/>
          <w:szCs w:val="28"/>
        </w:rPr>
        <w:t>利用GMS软件，在查明区内地层结构及含水层特征的基础上，建立</w:t>
      </w:r>
      <w:r>
        <w:rPr>
          <w:rFonts w:hint="eastAsia" w:cs="Times New Roman"/>
          <w:szCs w:val="28"/>
        </w:rPr>
        <w:t>工作区</w:t>
      </w:r>
      <w:r>
        <w:rPr>
          <w:rFonts w:cs="Times New Roman"/>
          <w:szCs w:val="28"/>
        </w:rPr>
        <w:t>地下水流和溶质运移耦合模型，开展不同情景条件下地下水水资源均衡计算，结合水质监测数据，进行特征组分溶质运移计算，预测不同情景条件下地下水水质时空变化情况。本项工作包括：一亩泉保护区</w:t>
      </w:r>
      <w:r>
        <w:rPr>
          <w:rFonts w:hint="eastAsia" w:cs="Times New Roman"/>
          <w:szCs w:val="28"/>
        </w:rPr>
        <w:t>和补给区</w:t>
      </w:r>
      <w:r>
        <w:rPr>
          <w:rFonts w:cs="Times New Roman"/>
          <w:szCs w:val="28"/>
        </w:rPr>
        <w:t>典型水文地质单元1个、典型污染场地2个。</w:t>
      </w:r>
    </w:p>
    <w:p>
      <w:pPr>
        <w:snapToGrid w:val="0"/>
        <w:ind w:firstLine="560"/>
        <w:rPr>
          <w:rFonts w:cs="Times New Roman"/>
          <w:szCs w:val="28"/>
        </w:rPr>
      </w:pPr>
      <w:r>
        <w:rPr>
          <w:rFonts w:cs="Times New Roman"/>
          <w:szCs w:val="28"/>
        </w:rPr>
        <w:t>（1）建立</w:t>
      </w:r>
      <w:r>
        <w:rPr>
          <w:rFonts w:hint="eastAsia" w:cs="Times New Roman"/>
          <w:szCs w:val="28"/>
        </w:rPr>
        <w:t>工作区</w:t>
      </w:r>
      <w:r>
        <w:rPr>
          <w:rFonts w:cs="Times New Roman"/>
          <w:szCs w:val="28"/>
        </w:rPr>
        <w:t>水文地质概念模型</w:t>
      </w:r>
    </w:p>
    <w:p>
      <w:pPr>
        <w:snapToGrid w:val="0"/>
        <w:ind w:firstLine="560"/>
        <w:rPr>
          <w:rFonts w:cs="Times New Roman"/>
          <w:szCs w:val="28"/>
        </w:rPr>
      </w:pPr>
      <w:r>
        <w:rPr>
          <w:rFonts w:cs="Times New Roman"/>
          <w:szCs w:val="28"/>
        </w:rPr>
        <w:t>结合地质条件，进行含水层概化、边界条件概化、源汇项的汇总计算、水文地质参数计算，建立</w:t>
      </w:r>
      <w:r>
        <w:rPr>
          <w:rFonts w:hint="eastAsia" w:cs="Times New Roman"/>
          <w:szCs w:val="28"/>
        </w:rPr>
        <w:t>工作区</w:t>
      </w:r>
      <w:r>
        <w:rPr>
          <w:rFonts w:cs="Times New Roman"/>
          <w:szCs w:val="28"/>
        </w:rPr>
        <w:t>水文地质概念模型。</w:t>
      </w:r>
    </w:p>
    <w:p>
      <w:pPr>
        <w:snapToGrid w:val="0"/>
        <w:ind w:firstLine="560"/>
        <w:rPr>
          <w:rFonts w:cs="Times New Roman"/>
          <w:szCs w:val="28"/>
        </w:rPr>
      </w:pPr>
      <w:r>
        <w:rPr>
          <w:rFonts w:cs="Times New Roman"/>
          <w:szCs w:val="28"/>
        </w:rPr>
        <w:t>（2）建立地下水流和溶质运移耦合模型</w:t>
      </w:r>
    </w:p>
    <w:p>
      <w:pPr>
        <w:snapToGrid w:val="0"/>
        <w:ind w:firstLine="560"/>
        <w:rPr>
          <w:rFonts w:cs="Times New Roman"/>
          <w:szCs w:val="28"/>
        </w:rPr>
      </w:pPr>
      <w:r>
        <w:rPr>
          <w:rFonts w:cs="Times New Roman"/>
          <w:szCs w:val="28"/>
        </w:rPr>
        <w:t>在</w:t>
      </w:r>
      <w:r>
        <w:rPr>
          <w:rFonts w:hint="eastAsia" w:cs="Times New Roman"/>
          <w:szCs w:val="28"/>
        </w:rPr>
        <w:t>工作区</w:t>
      </w:r>
      <w:r>
        <w:rPr>
          <w:rFonts w:cs="Times New Roman"/>
          <w:szCs w:val="28"/>
        </w:rPr>
        <w:t>水文地质概念模型的基础上，利用GMS软件中的MODFLOW模块对地下水流进行模拟。具体包括</w:t>
      </w:r>
      <w:r>
        <w:rPr>
          <w:rFonts w:hint="eastAsia" w:cs="Times New Roman"/>
          <w:szCs w:val="28"/>
        </w:rPr>
        <w:t>工作区</w:t>
      </w:r>
      <w:r>
        <w:rPr>
          <w:rFonts w:cs="Times New Roman"/>
          <w:szCs w:val="28"/>
        </w:rPr>
        <w:t>地下水流数学模型的建立，</w:t>
      </w:r>
      <w:r>
        <w:rPr>
          <w:rFonts w:hint="eastAsia" w:cs="Times New Roman"/>
          <w:szCs w:val="28"/>
        </w:rPr>
        <w:t>工作区</w:t>
      </w:r>
      <w:r>
        <w:rPr>
          <w:rFonts w:cs="Times New Roman"/>
          <w:szCs w:val="28"/>
        </w:rPr>
        <w:t>边界条件和源汇项的处理，网格剖分以及时间离散化（包括初始条件）和水流模型的建立。并进行模型的验证和识别，包括流场拟合、长观孔水位动态拟合、水均衡分析等。</w:t>
      </w:r>
    </w:p>
    <w:p>
      <w:pPr>
        <w:snapToGrid w:val="0"/>
        <w:ind w:firstLine="560"/>
        <w:rPr>
          <w:rFonts w:cs="Times New Roman"/>
          <w:szCs w:val="28"/>
        </w:rPr>
      </w:pPr>
      <w:r>
        <w:rPr>
          <w:rFonts w:cs="Times New Roman"/>
          <w:szCs w:val="28"/>
        </w:rPr>
        <w:t>建立</w:t>
      </w:r>
      <w:r>
        <w:rPr>
          <w:rFonts w:hint="eastAsia" w:cs="Times New Roman"/>
          <w:szCs w:val="28"/>
        </w:rPr>
        <w:t>工作区</w:t>
      </w:r>
      <w:r>
        <w:rPr>
          <w:rFonts w:cs="Times New Roman"/>
          <w:szCs w:val="28"/>
        </w:rPr>
        <w:t>溶质运移模型：选择</w:t>
      </w:r>
      <w:r>
        <w:rPr>
          <w:rFonts w:hint="eastAsia" w:cs="Times New Roman"/>
          <w:szCs w:val="28"/>
        </w:rPr>
        <w:t>工作区</w:t>
      </w:r>
      <w:r>
        <w:rPr>
          <w:rFonts w:cs="Times New Roman"/>
          <w:szCs w:val="28"/>
        </w:rPr>
        <w:t>典型污染物作为模拟因子，利用GMS软件中的MT3DMS模块对</w:t>
      </w:r>
      <w:r>
        <w:rPr>
          <w:rFonts w:hint="eastAsia" w:cs="Times New Roman"/>
          <w:szCs w:val="28"/>
        </w:rPr>
        <w:t>工作区</w:t>
      </w:r>
      <w:r>
        <w:rPr>
          <w:rFonts w:cs="Times New Roman"/>
          <w:szCs w:val="28"/>
        </w:rPr>
        <w:t>内的地下水中污染物运移进行模拟。具体包括建立</w:t>
      </w:r>
      <w:r>
        <w:rPr>
          <w:rFonts w:hint="eastAsia" w:cs="Times New Roman"/>
          <w:szCs w:val="28"/>
        </w:rPr>
        <w:t>工作区</w:t>
      </w:r>
      <w:r>
        <w:rPr>
          <w:rFonts w:cs="Times New Roman"/>
          <w:szCs w:val="28"/>
        </w:rPr>
        <w:t>溶质运移数学模型，确定弥散系数、初始浓度、分配系数和补给浓度等参数，建立</w:t>
      </w:r>
      <w:r>
        <w:rPr>
          <w:rFonts w:hint="eastAsia" w:cs="Times New Roman"/>
          <w:szCs w:val="28"/>
        </w:rPr>
        <w:t>工作区</w:t>
      </w:r>
      <w:r>
        <w:rPr>
          <w:rFonts w:cs="Times New Roman"/>
          <w:szCs w:val="28"/>
        </w:rPr>
        <w:t>典型污染物迁移模型。并利用野外污染调查取样分析获得的数据对模拟结果进行验证。</w:t>
      </w:r>
    </w:p>
    <w:p>
      <w:pPr>
        <w:pStyle w:val="6"/>
        <w:ind w:firstLine="562"/>
        <w:rPr>
          <w:szCs w:val="28"/>
        </w:rPr>
      </w:pPr>
      <w:r>
        <w:rPr>
          <w:rFonts w:hint="eastAsia"/>
          <w:szCs w:val="28"/>
        </w:rPr>
        <w:t>4.2</w:t>
      </w:r>
      <w:r>
        <w:rPr>
          <w:szCs w:val="28"/>
        </w:rPr>
        <w:t>.9 地下水环境污染健康风险评估</w:t>
      </w:r>
    </w:p>
    <w:p>
      <w:pPr>
        <w:widowControl/>
        <w:ind w:firstLine="560"/>
        <w:jc w:val="left"/>
        <w:rPr>
          <w:rFonts w:cs="Times New Roman"/>
          <w:szCs w:val="28"/>
        </w:rPr>
      </w:pPr>
      <w:r>
        <w:rPr>
          <w:rFonts w:cs="Times New Roman"/>
          <w:szCs w:val="28"/>
        </w:rPr>
        <w:t>根据初步、详细阶段的地下水环境调查评价结果，在查清地下水污染源特征、污染羽空间分布和趋势基础上，判断污染物是否为有毒有害物质，然后判断地下水有毒有害物质是否有相关功能标准，启动相应的地下水健康风险评估工作。评估工作流程如图所示。</w:t>
      </w:r>
    </w:p>
    <w:p>
      <w:pPr>
        <w:ind w:firstLine="560"/>
        <w:jc w:val="left"/>
        <w:rPr>
          <w:rFonts w:cs="Times New Roman"/>
          <w:szCs w:val="28"/>
        </w:rPr>
      </w:pPr>
      <w:r>
        <w:rPr>
          <w:rFonts w:cs="Times New Roman"/>
          <w:szCs w:val="28"/>
        </w:rPr>
        <w:t>（1）风险评估准备</w:t>
      </w:r>
    </w:p>
    <w:p>
      <w:pPr>
        <w:ind w:firstLine="560"/>
        <w:jc w:val="left"/>
        <w:rPr>
          <w:rFonts w:cs="Times New Roman"/>
          <w:szCs w:val="28"/>
        </w:rPr>
      </w:pPr>
      <w:r>
        <w:rPr>
          <w:rFonts w:cs="Times New Roman"/>
          <w:szCs w:val="28"/>
        </w:rPr>
        <w:t>①基础资料审核。审核监测点和暴露点状况、污染源及污染区域状况。</w:t>
      </w:r>
    </w:p>
    <w:p>
      <w:pPr>
        <w:ind w:firstLine="560"/>
        <w:jc w:val="left"/>
        <w:rPr>
          <w:rFonts w:cs="Times New Roman"/>
          <w:szCs w:val="28"/>
        </w:rPr>
      </w:pPr>
      <w:r>
        <w:rPr>
          <w:rFonts w:cs="Times New Roman"/>
          <w:szCs w:val="28"/>
        </w:rPr>
        <w:t>②关注污染物识别。根据地下水环境调查和监测结果，将对人群等敏感受体具有潜在风险且需要进行风险评估的化学类污染物，确定为关注污染物。</w:t>
      </w:r>
    </w:p>
    <w:p>
      <w:pPr>
        <w:ind w:firstLine="560"/>
        <w:jc w:val="left"/>
        <w:rPr>
          <w:rFonts w:cs="Times New Roman"/>
          <w:szCs w:val="28"/>
        </w:rPr>
      </w:pPr>
      <w:r>
        <w:rPr>
          <w:rFonts w:cs="Times New Roman"/>
          <w:szCs w:val="28"/>
        </w:rPr>
        <w:t>③污染区域分析。根据地下水污染现状及模拟预测的结果，健康风险评估范围包括地下水污染羽所在区域及受污染羽潜在影响的区域。</w:t>
      </w:r>
    </w:p>
    <w:p>
      <w:pPr>
        <w:ind w:firstLine="560"/>
        <w:jc w:val="left"/>
        <w:rPr>
          <w:rFonts w:cs="Times New Roman"/>
          <w:szCs w:val="28"/>
        </w:rPr>
      </w:pPr>
      <w:r>
        <w:rPr>
          <w:rFonts w:cs="Times New Roman"/>
          <w:szCs w:val="28"/>
        </w:rPr>
        <w:t>④受影响人群估算。估算影响人群，包括人口数量、人口分布、人口年龄构成等。</w:t>
      </w:r>
    </w:p>
    <w:p>
      <w:pPr>
        <w:ind w:firstLine="560"/>
        <w:jc w:val="left"/>
        <w:rPr>
          <w:rFonts w:cs="Times New Roman"/>
          <w:szCs w:val="28"/>
        </w:rPr>
      </w:pPr>
      <w:r>
        <w:rPr>
          <w:rFonts w:cs="Times New Roman"/>
          <w:szCs w:val="28"/>
        </w:rPr>
        <w:t>（</w:t>
      </w:r>
      <w:r>
        <w:rPr>
          <w:rFonts w:cs="Times New Roman"/>
          <w:b/>
          <w:szCs w:val="28"/>
        </w:rPr>
        <w:t>2</w:t>
      </w:r>
      <w:r>
        <w:rPr>
          <w:rFonts w:cs="Times New Roman"/>
          <w:szCs w:val="28"/>
        </w:rPr>
        <w:t>）危害识别</w:t>
      </w:r>
    </w:p>
    <w:p>
      <w:pPr>
        <w:ind w:firstLine="560"/>
        <w:jc w:val="left"/>
        <w:rPr>
          <w:rFonts w:cs="Times New Roman"/>
          <w:szCs w:val="28"/>
        </w:rPr>
      </w:pPr>
      <w:r>
        <w:rPr>
          <w:rFonts w:cs="Times New Roman"/>
          <w:szCs w:val="28"/>
        </w:rPr>
        <w:t>识别关注污染物的危害效应，包括理化性质、毒性效应、人群流行病学、关键效应分析等。</w:t>
      </w:r>
    </w:p>
    <w:p>
      <w:pPr>
        <w:ind w:firstLine="0" w:firstLineChars="0"/>
        <w:jc w:val="left"/>
      </w:pPr>
      <w:r>
        <w:rPr>
          <w:rFonts w:hint="eastAsia"/>
        </w:rPr>
        <w:drawing>
          <wp:inline distT="0" distB="0" distL="114300" distR="114300">
            <wp:extent cx="5274310" cy="7242175"/>
            <wp:effectExtent l="0" t="0" r="13970" b="12065"/>
            <wp:docPr id="10" name="图片 10" descr="风险评估流程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风险评估流程图"/>
                    <pic:cNvPicPr>
                      <a:picLocks noChangeAspect="1"/>
                    </pic:cNvPicPr>
                  </pic:nvPicPr>
                  <pic:blipFill>
                    <a:blip r:embed="rId36"/>
                    <a:stretch>
                      <a:fillRect/>
                    </a:stretch>
                  </pic:blipFill>
                  <pic:spPr>
                    <a:xfrm>
                      <a:off x="0" y="0"/>
                      <a:ext cx="5274310" cy="7242175"/>
                    </a:xfrm>
                    <a:prstGeom prst="rect">
                      <a:avLst/>
                    </a:prstGeom>
                  </pic:spPr>
                </pic:pic>
              </a:graphicData>
            </a:graphic>
          </wp:inline>
        </w:drawing>
      </w:r>
    </w:p>
    <w:p>
      <w:pPr>
        <w:ind w:firstLine="0" w:firstLineChars="0"/>
        <w:jc w:val="center"/>
        <w:rPr>
          <w:rFonts w:ascii="黑体" w:hAnsi="黑体" w:eastAsia="黑体" w:cs="黑体"/>
          <w:sz w:val="21"/>
          <w:szCs w:val="21"/>
        </w:rPr>
      </w:pPr>
      <w:r>
        <w:rPr>
          <w:rFonts w:hint="eastAsia" w:ascii="黑体" w:hAnsi="黑体" w:eastAsia="黑体" w:cs="黑体"/>
          <w:sz w:val="21"/>
          <w:szCs w:val="21"/>
        </w:rPr>
        <w:t>图4-2  地下水污染健康风险评估工作程序</w:t>
      </w:r>
    </w:p>
    <w:p>
      <w:pPr>
        <w:ind w:firstLine="560"/>
        <w:jc w:val="left"/>
        <w:rPr>
          <w:rFonts w:cs="Times New Roman"/>
          <w:szCs w:val="28"/>
        </w:rPr>
      </w:pPr>
      <w:r>
        <w:rPr>
          <w:rFonts w:cs="Times New Roman"/>
          <w:szCs w:val="28"/>
        </w:rPr>
        <w:t>（</w:t>
      </w:r>
      <w:r>
        <w:rPr>
          <w:rFonts w:cs="Times New Roman"/>
          <w:b/>
          <w:szCs w:val="28"/>
        </w:rPr>
        <w:t>3</w:t>
      </w:r>
      <w:r>
        <w:rPr>
          <w:rFonts w:cs="Times New Roman"/>
          <w:szCs w:val="28"/>
        </w:rPr>
        <w:t>）暴露评估</w:t>
      </w:r>
    </w:p>
    <w:p>
      <w:pPr>
        <w:ind w:firstLine="560"/>
        <w:jc w:val="left"/>
        <w:rPr>
          <w:rFonts w:cs="Times New Roman"/>
          <w:szCs w:val="28"/>
        </w:rPr>
      </w:pPr>
      <w:r>
        <w:rPr>
          <w:rFonts w:cs="Times New Roman"/>
          <w:szCs w:val="28"/>
        </w:rPr>
        <w:t>暴露评估是分析调查关注污染物迁移和危害敏感受体的可能性。根据水文地质条件、土地利用方式及地下水功能等资料，确定评估区（污染区及潜在污染区内）关注污染物的暴露情景、暴露途径和受体类型，计算各途径暴露浓度和各暴露途径下的总暴露剂量。</w:t>
      </w:r>
    </w:p>
    <w:p>
      <w:pPr>
        <w:ind w:firstLine="560"/>
        <w:jc w:val="left"/>
        <w:rPr>
          <w:rFonts w:cs="Times New Roman"/>
          <w:szCs w:val="28"/>
        </w:rPr>
      </w:pPr>
      <w:r>
        <w:rPr>
          <w:rFonts w:cs="Times New Roman"/>
          <w:szCs w:val="28"/>
        </w:rPr>
        <w:t>科学采用地下水污染静态和动态数据确定暴露浓度。根据地下水环境调查评价的结果，首先采用有代表性的地下水污染现状监测数据计算暴露剂量；依据《地下水污染模拟预测评估工作指南》，利用地下水污染模拟预测的方法，补充地下水污染模拟预测数据为暴露浓度开展动态暴露评估：分析从污染源到暴露点的可能途径和人群暴露方式，建立“污染源-污染物迁移-暴露点-人群暴露方式”的暴露途径概念模型；选取不长于5 年作为时间间隔预测一个浓度，预测70 年，将各时间节点浓度取均值作为暴露点的暴露浓度。</w:t>
      </w:r>
    </w:p>
    <w:p>
      <w:pPr>
        <w:ind w:firstLine="560"/>
        <w:jc w:val="left"/>
        <w:rPr>
          <w:rFonts w:cs="Times New Roman"/>
          <w:szCs w:val="28"/>
        </w:rPr>
      </w:pPr>
      <w:r>
        <w:rPr>
          <w:rFonts w:cs="Times New Roman"/>
          <w:szCs w:val="28"/>
        </w:rPr>
        <w:t>（</w:t>
      </w:r>
      <w:r>
        <w:rPr>
          <w:rFonts w:cs="Times New Roman"/>
          <w:b/>
          <w:szCs w:val="28"/>
        </w:rPr>
        <w:t>4</w:t>
      </w:r>
      <w:r>
        <w:rPr>
          <w:rFonts w:cs="Times New Roman"/>
          <w:szCs w:val="28"/>
        </w:rPr>
        <w:t>）毒性评估</w:t>
      </w:r>
    </w:p>
    <w:p>
      <w:pPr>
        <w:ind w:firstLine="560"/>
        <w:jc w:val="left"/>
        <w:rPr>
          <w:rFonts w:cs="Times New Roman"/>
          <w:szCs w:val="28"/>
        </w:rPr>
      </w:pPr>
      <w:r>
        <w:rPr>
          <w:rFonts w:cs="Times New Roman"/>
          <w:szCs w:val="28"/>
        </w:rPr>
        <w:t>在危害识别的工作基础上，确定与关注污染物相关的毒性参数，包括非致癌参考剂量、参考浓度、致癌斜率因子和单位致癌因子等。</w:t>
      </w:r>
    </w:p>
    <w:p>
      <w:pPr>
        <w:ind w:firstLine="560"/>
        <w:jc w:val="left"/>
        <w:rPr>
          <w:rFonts w:cs="Times New Roman"/>
          <w:szCs w:val="28"/>
        </w:rPr>
      </w:pPr>
      <w:r>
        <w:rPr>
          <w:rFonts w:cs="Times New Roman"/>
          <w:szCs w:val="28"/>
        </w:rPr>
        <w:t>（</w:t>
      </w:r>
      <w:r>
        <w:rPr>
          <w:rFonts w:cs="Times New Roman"/>
          <w:b/>
          <w:szCs w:val="28"/>
        </w:rPr>
        <w:t>5</w:t>
      </w:r>
      <w:r>
        <w:rPr>
          <w:rFonts w:cs="Times New Roman"/>
          <w:szCs w:val="28"/>
        </w:rPr>
        <w:t>）风险表征</w:t>
      </w:r>
    </w:p>
    <w:p>
      <w:pPr>
        <w:ind w:firstLine="560"/>
        <w:jc w:val="left"/>
        <w:rPr>
          <w:rFonts w:cs="Times New Roman"/>
          <w:szCs w:val="28"/>
        </w:rPr>
      </w:pPr>
      <w:r>
        <w:rPr>
          <w:rFonts w:cs="Times New Roman"/>
          <w:szCs w:val="28"/>
        </w:rPr>
        <w:t>风险表征是风险量化和综合评估的过程。目的是初步确定风险控制的目标污染物、关键暴露途径及风险水平。方法是采用风险评估模型计算不同关注污染物在不同暴露途径下的风险值，分析风险的时空分布特征并对评估结果进行主控因素分析和不确定性分析。</w:t>
      </w:r>
    </w:p>
    <w:p>
      <w:pPr>
        <w:ind w:firstLine="560"/>
        <w:jc w:val="left"/>
        <w:rPr>
          <w:rFonts w:cs="Times New Roman"/>
          <w:szCs w:val="28"/>
        </w:rPr>
      </w:pPr>
      <w:r>
        <w:rPr>
          <w:rFonts w:cs="Times New Roman"/>
          <w:szCs w:val="28"/>
        </w:rPr>
        <w:t>（</w:t>
      </w:r>
      <w:r>
        <w:rPr>
          <w:rFonts w:cs="Times New Roman"/>
          <w:b/>
          <w:szCs w:val="28"/>
        </w:rPr>
        <w:t>6</w:t>
      </w:r>
      <w:r>
        <w:rPr>
          <w:rFonts w:cs="Times New Roman"/>
          <w:szCs w:val="28"/>
        </w:rPr>
        <w:t>）地下水污染健康风险控制值计算</w:t>
      </w:r>
    </w:p>
    <w:p>
      <w:pPr>
        <w:ind w:firstLine="560"/>
        <w:jc w:val="left"/>
        <w:rPr>
          <w:rFonts w:cs="Times New Roman"/>
          <w:szCs w:val="28"/>
        </w:rPr>
      </w:pPr>
      <w:r>
        <w:rPr>
          <w:rFonts w:cs="Times New Roman"/>
          <w:szCs w:val="28"/>
        </w:rPr>
        <w:t>在风险表征的基础上，判断计算得到的风险值是否超过可接受风险水平。如风险值未超过可接受风险水平，则结束风险评估工作；否则，分别计算关注污染物基于致癌风险和非致癌风险的地下水风险控制值。进行关键参数取值的敏感性分析。</w:t>
      </w:r>
    </w:p>
    <w:p>
      <w:pPr>
        <w:ind w:firstLine="560"/>
        <w:jc w:val="left"/>
        <w:rPr>
          <w:rFonts w:cs="Times New Roman"/>
          <w:szCs w:val="28"/>
        </w:rPr>
      </w:pPr>
      <w:r>
        <w:rPr>
          <w:rFonts w:cs="Times New Roman"/>
          <w:szCs w:val="28"/>
        </w:rPr>
        <w:t>基于致癌风险和非致癌风险的地下水风险控制值，提出关注污染物相应的地下水风险控制值。</w:t>
      </w:r>
    </w:p>
    <w:p>
      <w:pPr>
        <w:pStyle w:val="6"/>
        <w:spacing w:before="156" w:after="156"/>
        <w:ind w:firstLine="562"/>
      </w:pPr>
      <w:r>
        <w:rPr>
          <w:rFonts w:hint="eastAsia"/>
        </w:rPr>
        <w:t>4.2.10 数据库建设</w:t>
      </w:r>
    </w:p>
    <w:p>
      <w:pPr>
        <w:pStyle w:val="8"/>
        <w:ind w:firstLine="562"/>
      </w:pPr>
      <w:r>
        <w:rPr>
          <w:rFonts w:hint="eastAsia"/>
        </w:rPr>
        <w:t>（1）</w:t>
      </w:r>
      <w:r>
        <w:t>调查资料数据库</w:t>
      </w:r>
    </w:p>
    <w:p>
      <w:pPr>
        <w:ind w:firstLine="560"/>
      </w:pPr>
      <w:r>
        <w:t>以数字化的形式反映本次地下水污染调查评价综合成果，数据库资料包括</w:t>
      </w:r>
      <w:r>
        <w:rPr>
          <w:rFonts w:hint="eastAsia"/>
        </w:rPr>
        <w:t>一亩泉水源地</w:t>
      </w:r>
      <w:r>
        <w:t>地下水环境状况调查属性数据库、原始资料属性元数据库和成果图件元数据库。该系统拟具有资料信息目录管理、数据信息显示、数据信息综合查询、多种形式的数据分析统计及信息输出等功能。</w:t>
      </w:r>
    </w:p>
    <w:p>
      <w:pPr>
        <w:pStyle w:val="8"/>
        <w:ind w:firstLine="562"/>
      </w:pPr>
      <w:r>
        <w:rPr>
          <w:rFonts w:hint="eastAsia"/>
        </w:rPr>
        <w:t>（2）</w:t>
      </w:r>
      <w:r>
        <w:t>典型场地3D模型数据库</w:t>
      </w:r>
    </w:p>
    <w:p>
      <w:pPr>
        <w:ind w:firstLine="560"/>
      </w:pPr>
      <w:r>
        <w:t>在典型污染场地解剖调查的基础上，构建污染场地三维地质模型，直观清晰的描述场地内地下水污染成因，污染途径及污染晕的扩散范围，预测未来污染发展趋势。</w:t>
      </w:r>
    </w:p>
    <w:p>
      <w:pPr>
        <w:ind w:firstLine="560"/>
      </w:pPr>
      <w:r>
        <w:rPr>
          <w:rFonts w:hint="eastAsia"/>
        </w:rPr>
        <w:t>通过典型污染场地解剖调查，充分收集场地所在区域地质、水文地质资料、场地内已有或新建钻孔资料及地球物理勘探资料等基础上，选择合适的插值算法，借助ArcGIS软件和三维地质建模软件（深探地学建模软件、Creatar Xmodeling等），构建典型污染场地三维水文地质结构模型，直观清晰的描述场地内水文地质结构、地下水污染分布与成因，污染途径及污染晕的扩散范围，预测未来污染发展趋势。</w:t>
      </w:r>
    </w:p>
    <w:p>
      <w:pPr>
        <w:ind w:firstLine="560"/>
      </w:pPr>
      <w:r>
        <w:rPr>
          <w:rFonts w:hint="eastAsia"/>
        </w:rPr>
        <w:t>三维水文地质结构模型的建立首先以区域地质条件为背景，以地层时代划分为基础，以沉积物岩性、含水性、孔隙率和渗透率等体现含水层特征的参数为主要指标，进行场地水文地质结构划分。然后遵循先主层再亚层的原则，划分出主要含水层和隔水层，在确定主层分层基础上，再根据地下水埋藏条件、颗粒粒度以及资料详细程度细化主层内的亚层。最后借助ArcGIS和三维地质建模软件，选择合适的插值算法进行污染场地三维水文地质结构可视化模型构建，建模深度150m以内，具体不同场地的建模深度和不同深度的建模精度受场地实际水文地质条件和资料详细程度制约而有所不同。</w:t>
      </w:r>
    </w:p>
    <w:p>
      <w:pPr>
        <w:pStyle w:val="8"/>
        <w:ind w:firstLine="562"/>
      </w:pPr>
      <w:r>
        <w:rPr>
          <w:rFonts w:hint="eastAsia"/>
        </w:rPr>
        <w:t>（3）数据库建设流程</w:t>
      </w:r>
    </w:p>
    <w:p>
      <w:pPr>
        <w:ind w:firstLine="560"/>
      </w:pPr>
      <w:r>
        <w:t>以数字化的形式反映本次地下水污染调查评价综合成果，数据库资料包括地下水环境状况调查</w:t>
      </w:r>
      <w:r>
        <w:rPr>
          <w:rFonts w:hint="eastAsia"/>
        </w:rPr>
        <w:t>原始资料属性</w:t>
      </w:r>
      <w:r>
        <w:t>数据库、</w:t>
      </w:r>
      <w:r>
        <w:rPr>
          <w:rFonts w:hint="eastAsia"/>
        </w:rPr>
        <w:t>综合成果数据库及成果图件</w:t>
      </w:r>
      <w:r>
        <w:t>元数据库。该系统具有资料信息目录管理、数据信息显示、数据信息综合查询、多种形式的数据分析统计及信息输出等功能。</w:t>
      </w:r>
    </w:p>
    <w:p>
      <w:pPr>
        <w:ind w:firstLine="560"/>
      </w:pPr>
      <w:r>
        <w:rPr>
          <w:rFonts w:hint="eastAsia"/>
        </w:rPr>
        <w:t>数据库建立基本流程包括：</w:t>
      </w:r>
    </w:p>
    <w:p>
      <w:pPr>
        <w:ind w:firstLine="560"/>
      </w:pPr>
      <w:r>
        <w:rPr>
          <w:rFonts w:hint="eastAsia"/>
        </w:rPr>
        <w:t>①建库准备：计算机硬件和软件（ArcG</w:t>
      </w:r>
      <w:r>
        <w:t>IS/M</w:t>
      </w:r>
      <w:r>
        <w:rPr>
          <w:rFonts w:hint="eastAsia"/>
        </w:rPr>
        <w:t>ap</w:t>
      </w:r>
      <w:r>
        <w:t>GIS</w:t>
      </w:r>
      <w:r>
        <w:rPr>
          <w:rFonts w:hint="eastAsia"/>
        </w:rPr>
        <w:t>，地下水污染调查数据库信息系统），野外调查原始资料和图件，建库标准等。</w:t>
      </w:r>
    </w:p>
    <w:p>
      <w:pPr>
        <w:ind w:firstLine="560"/>
      </w:pPr>
      <w:r>
        <w:rPr>
          <w:rFonts w:hint="eastAsia"/>
        </w:rPr>
        <w:t>②建库方法：GIS中的空间数据实体具有被描述的属性，属性数据说明空间实体数据的统一编号、数据特征、地理名称等等。按属性数据的性质、内容、存贮方式、与空间数据关系的密切性，属性数据又可以分为二类，第一类为与空间实体数据紧密相关的，用于区分空间数据实体的基本属性类，我们称之为内部属性，利用MapGis软件进行建设；第二类是描述空间实体专业特性的专题属性数据，由“地下水污染调查数据录入系统”软件来录入、建立、管理。</w:t>
      </w:r>
    </w:p>
    <w:p>
      <w:pPr>
        <w:ind w:firstLine="560"/>
      </w:pPr>
      <w:r>
        <w:rPr>
          <w:rFonts w:hint="eastAsia"/>
        </w:rPr>
        <w:t>③信息系统建立：主要包括空间图层的建立和地下水污染调查外挂数据库建设。前者在</w:t>
      </w:r>
      <w:r>
        <w:t>GIS</w:t>
      </w:r>
      <w:r>
        <w:rPr>
          <w:rFonts w:hint="eastAsia"/>
        </w:rPr>
        <w:t>软件中进行，后者在地下水污染调查数据录入系统中进行。其中空间图形数据库建立包括资料收集、野外调查、图形编辑、图形校正、属性赋值、建立拓扑、图面整饰和输出检查。</w:t>
      </w:r>
    </w:p>
    <w:p>
      <w:pPr>
        <w:ind w:firstLine="560"/>
      </w:pPr>
      <w:r>
        <w:rPr>
          <w:rFonts w:hint="eastAsia"/>
        </w:rPr>
        <w:t>地下水污染调查数据库是在计算机软、硬件的支持下，应用GIS技术并结合地质、水文地质等相关专业建立，主要建库流程如下。</w:t>
      </w:r>
    </w:p>
    <w:p>
      <w:pPr>
        <w:ind w:firstLine="480"/>
        <w:jc w:val="center"/>
      </w:pPr>
      <w:r>
        <w:rPr>
          <w:rFonts w:eastAsia="仿宋_GB2312"/>
          <w:sz w:val="24"/>
        </w:rPr>
        <w:drawing>
          <wp:inline distT="0" distB="0" distL="0" distR="0">
            <wp:extent cx="3484880" cy="2933065"/>
            <wp:effectExtent l="9525" t="9525" r="10795" b="13970"/>
            <wp:docPr id="7" name="图片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484880" cy="2933065"/>
                    </a:xfrm>
                    <a:prstGeom prst="rect">
                      <a:avLst/>
                    </a:prstGeom>
                    <a:noFill/>
                    <a:ln>
                      <a:solidFill>
                        <a:schemeClr val="bg2"/>
                      </a:solidFill>
                    </a:ln>
                  </pic:spPr>
                </pic:pic>
              </a:graphicData>
            </a:graphic>
          </wp:inline>
        </w:drawing>
      </w:r>
      <w:r>
        <w:rPr>
          <w:b/>
          <w:szCs w:val="21"/>
        </w:rPr>
        <w:t xml:space="preserve"> </w:t>
      </w:r>
    </w:p>
    <w:p>
      <w:pPr>
        <w:ind w:firstLine="0" w:firstLineChars="0"/>
        <w:jc w:val="center"/>
        <w:rPr>
          <w:rFonts w:ascii="黑体" w:hAnsi="黑体" w:eastAsia="黑体" w:cs="黑体"/>
          <w:sz w:val="21"/>
          <w:szCs w:val="21"/>
        </w:rPr>
      </w:pPr>
      <w:r>
        <w:rPr>
          <w:rFonts w:hint="eastAsia" w:ascii="黑体" w:hAnsi="黑体" w:eastAsia="黑体" w:cs="黑体"/>
          <w:sz w:val="21"/>
          <w:szCs w:val="21"/>
        </w:rPr>
        <w:t>图4-3 数据库建库流程图</w:t>
      </w:r>
    </w:p>
    <w:p>
      <w:pPr>
        <w:pStyle w:val="6"/>
        <w:spacing w:before="156" w:after="156"/>
        <w:ind w:firstLine="562"/>
      </w:pPr>
      <w:r>
        <w:rPr>
          <w:rFonts w:hint="eastAsia"/>
        </w:rPr>
        <w:t>4.2.11 报告编制及图件制作</w:t>
      </w:r>
    </w:p>
    <w:p>
      <w:pPr>
        <w:snapToGrid w:val="0"/>
        <w:ind w:firstLine="560"/>
        <w:rPr>
          <w:rFonts w:cs="Times New Roman"/>
          <w:szCs w:val="28"/>
        </w:rPr>
      </w:pPr>
      <w:r>
        <w:rPr>
          <w:rFonts w:cs="Times New Roman"/>
          <w:szCs w:val="28"/>
        </w:rPr>
        <w:t>本项工作包括：编制《保定市一亩泉地下水型集中式生活饮用水水源地地下水环境状况详细调查与评估项目实施方案》一份，编制《保定市一亩泉地下水型集中式生活饮用水水源地地下水环境状况详细调查与评估</w:t>
      </w:r>
      <w:r>
        <w:rPr>
          <w:rFonts w:hint="eastAsia" w:cs="Times New Roman"/>
          <w:szCs w:val="28"/>
        </w:rPr>
        <w:t>成果</w:t>
      </w:r>
      <w:r>
        <w:rPr>
          <w:rFonts w:cs="Times New Roman"/>
          <w:szCs w:val="28"/>
        </w:rPr>
        <w:t>报告》及</w:t>
      </w:r>
      <w:r>
        <w:rPr>
          <w:rFonts w:hint="eastAsia" w:cs="Times New Roman"/>
          <w:szCs w:val="28"/>
        </w:rPr>
        <w:t>《保定市一亩泉地下水型集中式生活饮用水水源地地下水污染防控修改建议》等</w:t>
      </w:r>
      <w:r>
        <w:rPr>
          <w:rFonts w:cs="Times New Roman"/>
          <w:szCs w:val="28"/>
        </w:rPr>
        <w:t>相关</w:t>
      </w:r>
      <w:r>
        <w:rPr>
          <w:rFonts w:hint="eastAsia" w:cs="Times New Roman"/>
          <w:szCs w:val="28"/>
        </w:rPr>
        <w:t>附件、</w:t>
      </w:r>
      <w:r>
        <w:rPr>
          <w:rFonts w:cs="Times New Roman"/>
          <w:szCs w:val="28"/>
        </w:rPr>
        <w:t>图件一套。</w:t>
      </w:r>
    </w:p>
    <w:p>
      <w:pPr>
        <w:pStyle w:val="5"/>
        <w:ind w:firstLine="602"/>
        <w:rPr>
          <w:b/>
          <w:bCs/>
        </w:rPr>
      </w:pPr>
      <w:bookmarkStart w:id="72" w:name="_Toc118098360"/>
      <w:r>
        <w:rPr>
          <w:rFonts w:hint="eastAsia"/>
          <w:b/>
          <w:bCs/>
        </w:rPr>
        <w:t>4.3 工作量</w:t>
      </w:r>
      <w:bookmarkEnd w:id="72"/>
    </w:p>
    <w:p>
      <w:pPr>
        <w:ind w:firstLine="560"/>
      </w:pPr>
      <w:r>
        <w:rPr>
          <w:rFonts w:hint="eastAsia"/>
        </w:rPr>
        <w:t>根据工作部署，确定本次工作工作量如下表。</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表4-3  工作量估算表</w:t>
      </w:r>
    </w:p>
    <w:tbl>
      <w:tblPr>
        <w:tblStyle w:val="31"/>
        <w:tblW w:w="49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1112"/>
        <w:gridCol w:w="2514"/>
        <w:gridCol w:w="2777"/>
        <w:gridCol w:w="13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trPr>
        <w:tc>
          <w:tcPr>
            <w:tcW w:w="420" w:type="pct"/>
            <w:vAlign w:val="center"/>
          </w:tcPr>
          <w:p>
            <w:pPr>
              <w:spacing w:line="240" w:lineRule="auto"/>
              <w:ind w:firstLine="0" w:firstLineChars="0"/>
              <w:jc w:val="center"/>
              <w:rPr>
                <w:rFonts w:cs="宋体"/>
                <w:b/>
                <w:bCs/>
                <w:sz w:val="21"/>
              </w:rPr>
            </w:pPr>
            <w:r>
              <w:rPr>
                <w:rFonts w:cs="宋体"/>
                <w:b/>
                <w:bCs/>
                <w:sz w:val="21"/>
              </w:rPr>
              <w:t>序号</w:t>
            </w:r>
          </w:p>
        </w:tc>
        <w:tc>
          <w:tcPr>
            <w:tcW w:w="654" w:type="pct"/>
            <w:vAlign w:val="center"/>
          </w:tcPr>
          <w:p>
            <w:pPr>
              <w:spacing w:line="240" w:lineRule="auto"/>
              <w:ind w:firstLine="0" w:firstLineChars="0"/>
              <w:jc w:val="center"/>
              <w:rPr>
                <w:rFonts w:cs="宋体"/>
                <w:b/>
                <w:bCs/>
                <w:sz w:val="21"/>
              </w:rPr>
            </w:pPr>
            <w:r>
              <w:rPr>
                <w:rFonts w:cs="宋体"/>
                <w:b/>
                <w:bCs/>
                <w:sz w:val="21"/>
              </w:rPr>
              <w:t>工作手段</w:t>
            </w:r>
          </w:p>
        </w:tc>
        <w:tc>
          <w:tcPr>
            <w:tcW w:w="1478" w:type="pct"/>
            <w:vAlign w:val="center"/>
          </w:tcPr>
          <w:p>
            <w:pPr>
              <w:spacing w:line="240" w:lineRule="auto"/>
              <w:ind w:firstLine="0" w:firstLineChars="0"/>
              <w:jc w:val="center"/>
              <w:rPr>
                <w:rFonts w:cs="宋体"/>
                <w:b/>
                <w:bCs/>
                <w:sz w:val="21"/>
              </w:rPr>
            </w:pPr>
            <w:r>
              <w:rPr>
                <w:rFonts w:hint="eastAsia" w:cs="宋体"/>
                <w:b/>
                <w:bCs/>
                <w:sz w:val="21"/>
              </w:rPr>
              <w:t>工作内容与</w:t>
            </w:r>
            <w:r>
              <w:rPr>
                <w:rFonts w:cs="宋体"/>
                <w:b/>
                <w:bCs/>
                <w:sz w:val="21"/>
              </w:rPr>
              <w:t>精度</w:t>
            </w:r>
          </w:p>
        </w:tc>
        <w:tc>
          <w:tcPr>
            <w:tcW w:w="1633" w:type="pct"/>
            <w:vAlign w:val="center"/>
          </w:tcPr>
          <w:p>
            <w:pPr>
              <w:spacing w:line="240" w:lineRule="auto"/>
              <w:ind w:firstLine="0" w:firstLineChars="0"/>
              <w:jc w:val="center"/>
              <w:rPr>
                <w:rFonts w:cs="宋体"/>
                <w:b/>
                <w:bCs/>
                <w:sz w:val="21"/>
              </w:rPr>
            </w:pPr>
            <w:r>
              <w:rPr>
                <w:rFonts w:hint="eastAsia" w:cs="宋体"/>
                <w:b/>
                <w:bCs/>
                <w:sz w:val="21"/>
              </w:rPr>
              <w:t>单位</w:t>
            </w:r>
          </w:p>
        </w:tc>
        <w:tc>
          <w:tcPr>
            <w:tcW w:w="812" w:type="pct"/>
            <w:vAlign w:val="center"/>
          </w:tcPr>
          <w:p>
            <w:pPr>
              <w:spacing w:line="240" w:lineRule="auto"/>
              <w:ind w:firstLine="0" w:firstLineChars="0"/>
              <w:jc w:val="center"/>
              <w:rPr>
                <w:rFonts w:cs="宋体"/>
                <w:b/>
                <w:bCs/>
                <w:sz w:val="21"/>
              </w:rPr>
            </w:pPr>
            <w:r>
              <w:rPr>
                <w:rFonts w:cs="宋体"/>
                <w:b/>
                <w:bCs/>
                <w:sz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cs="宋体"/>
                <w:sz w:val="21"/>
              </w:rPr>
              <w:t>1</w:t>
            </w:r>
          </w:p>
        </w:tc>
        <w:tc>
          <w:tcPr>
            <w:tcW w:w="654" w:type="pct"/>
            <w:vMerge w:val="restart"/>
            <w:vAlign w:val="center"/>
          </w:tcPr>
          <w:p>
            <w:pPr>
              <w:spacing w:line="240" w:lineRule="auto"/>
              <w:ind w:firstLine="0" w:firstLineChars="0"/>
              <w:jc w:val="center"/>
              <w:rPr>
                <w:rFonts w:cs="宋体"/>
                <w:sz w:val="21"/>
              </w:rPr>
            </w:pPr>
            <w:r>
              <w:rPr>
                <w:rFonts w:hint="eastAsia" w:cs="宋体"/>
                <w:sz w:val="21"/>
              </w:rPr>
              <w:t>地下水环境状况调查</w:t>
            </w:r>
          </w:p>
        </w:tc>
        <w:tc>
          <w:tcPr>
            <w:tcW w:w="1478" w:type="pct"/>
            <w:vAlign w:val="center"/>
          </w:tcPr>
          <w:p>
            <w:pPr>
              <w:spacing w:line="240" w:lineRule="auto"/>
              <w:ind w:firstLine="0" w:firstLineChars="0"/>
              <w:jc w:val="center"/>
              <w:rPr>
                <w:rFonts w:cs="宋体"/>
                <w:sz w:val="21"/>
              </w:rPr>
            </w:pPr>
            <w:r>
              <w:rPr>
                <w:rFonts w:cs="宋体"/>
                <w:sz w:val="21"/>
              </w:rPr>
              <w:t>1:</w:t>
            </w:r>
            <w:r>
              <w:rPr>
                <w:rFonts w:hint="eastAsia" w:cs="宋体"/>
                <w:sz w:val="21"/>
              </w:rPr>
              <w:t>10000</w:t>
            </w:r>
            <w:r>
              <w:rPr>
                <w:rFonts w:cs="宋体"/>
                <w:sz w:val="21"/>
              </w:rPr>
              <w:t>地下水环境</w:t>
            </w:r>
            <w:r>
              <w:rPr>
                <w:rFonts w:hint="eastAsia" w:cs="宋体"/>
                <w:sz w:val="21"/>
              </w:rPr>
              <w:t>状况</w:t>
            </w:r>
            <w:r>
              <w:rPr>
                <w:rFonts w:cs="宋体"/>
                <w:sz w:val="21"/>
              </w:rPr>
              <w:t>调查</w:t>
            </w:r>
          </w:p>
        </w:tc>
        <w:tc>
          <w:tcPr>
            <w:tcW w:w="1633" w:type="pct"/>
            <w:vAlign w:val="center"/>
          </w:tcPr>
          <w:p>
            <w:pPr>
              <w:spacing w:line="240" w:lineRule="auto"/>
              <w:ind w:firstLine="0" w:firstLineChars="0"/>
              <w:jc w:val="center"/>
              <w:rPr>
                <w:rFonts w:cs="宋体"/>
                <w:sz w:val="21"/>
              </w:rPr>
            </w:pPr>
            <w:r>
              <w:rPr>
                <w:rFonts w:cs="宋体"/>
                <w:sz w:val="21"/>
              </w:rPr>
              <w:t>km</w:t>
            </w:r>
            <w:r>
              <w:rPr>
                <w:rFonts w:cs="宋体"/>
                <w:sz w:val="21"/>
                <w:vertAlign w:val="superscript"/>
              </w:rPr>
              <w:t>2</w:t>
            </w:r>
          </w:p>
        </w:tc>
        <w:tc>
          <w:tcPr>
            <w:tcW w:w="812" w:type="pct"/>
            <w:vAlign w:val="center"/>
          </w:tcPr>
          <w:p>
            <w:pPr>
              <w:spacing w:line="240" w:lineRule="auto"/>
              <w:ind w:firstLine="0" w:firstLineChars="0"/>
              <w:jc w:val="center"/>
              <w:rPr>
                <w:rFonts w:cs="宋体"/>
                <w:sz w:val="21"/>
              </w:rPr>
            </w:pPr>
            <w:r>
              <w:rPr>
                <w:rFonts w:hint="eastAsia" w:cs="宋体"/>
                <w:sz w:val="21"/>
              </w:rPr>
              <w:t>108.11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1:</w:t>
            </w:r>
            <w:r>
              <w:rPr>
                <w:rFonts w:hint="eastAsia" w:cs="宋体"/>
                <w:sz w:val="21"/>
              </w:rPr>
              <w:t>2</w:t>
            </w:r>
            <w:r>
              <w:rPr>
                <w:rFonts w:cs="宋体"/>
                <w:sz w:val="21"/>
              </w:rPr>
              <w:t>000重点区</w:t>
            </w:r>
            <w:r>
              <w:rPr>
                <w:rFonts w:hint="eastAsia" w:cs="宋体"/>
                <w:sz w:val="21"/>
              </w:rPr>
              <w:t>地下水环境状况</w:t>
            </w:r>
            <w:r>
              <w:rPr>
                <w:rFonts w:cs="宋体"/>
                <w:sz w:val="21"/>
              </w:rPr>
              <w:t>详查</w:t>
            </w:r>
          </w:p>
        </w:tc>
        <w:tc>
          <w:tcPr>
            <w:tcW w:w="1633" w:type="pct"/>
            <w:vAlign w:val="center"/>
          </w:tcPr>
          <w:p>
            <w:pPr>
              <w:spacing w:line="240" w:lineRule="auto"/>
              <w:ind w:firstLine="0" w:firstLineChars="0"/>
              <w:jc w:val="center"/>
              <w:rPr>
                <w:rFonts w:cs="宋体"/>
                <w:sz w:val="21"/>
              </w:rPr>
            </w:pPr>
            <w:r>
              <w:rPr>
                <w:rFonts w:cs="宋体"/>
                <w:sz w:val="21"/>
              </w:rPr>
              <w:t>km</w:t>
            </w:r>
            <w:r>
              <w:rPr>
                <w:rFonts w:cs="宋体"/>
                <w:sz w:val="21"/>
                <w:vertAlign w:val="superscript"/>
              </w:rPr>
              <w:t>2</w:t>
            </w:r>
          </w:p>
        </w:tc>
        <w:tc>
          <w:tcPr>
            <w:tcW w:w="812" w:type="pct"/>
            <w:vAlign w:val="center"/>
          </w:tcPr>
          <w:p>
            <w:pPr>
              <w:spacing w:line="240" w:lineRule="auto"/>
              <w:ind w:firstLine="0" w:firstLineChars="0"/>
              <w:jc w:val="center"/>
              <w:rPr>
                <w:rFonts w:cs="宋体"/>
                <w:sz w:val="21"/>
              </w:rPr>
            </w:pPr>
            <w:r>
              <w:rPr>
                <w:rFonts w:hint="eastAsia" w:cs="宋体"/>
                <w:sz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2</w:t>
            </w:r>
          </w:p>
        </w:tc>
        <w:tc>
          <w:tcPr>
            <w:tcW w:w="654" w:type="pct"/>
            <w:vMerge w:val="restart"/>
            <w:vAlign w:val="center"/>
          </w:tcPr>
          <w:p>
            <w:pPr>
              <w:spacing w:line="240" w:lineRule="auto"/>
              <w:ind w:firstLine="0" w:firstLineChars="0"/>
              <w:jc w:val="center"/>
              <w:rPr>
                <w:rFonts w:cs="宋体"/>
                <w:sz w:val="21"/>
              </w:rPr>
            </w:pPr>
            <w:r>
              <w:rPr>
                <w:rFonts w:cs="宋体"/>
                <w:sz w:val="21"/>
              </w:rPr>
              <w:t>水文地质钻探</w:t>
            </w:r>
          </w:p>
        </w:tc>
        <w:tc>
          <w:tcPr>
            <w:tcW w:w="1478" w:type="pct"/>
            <w:vAlign w:val="center"/>
          </w:tcPr>
          <w:p>
            <w:pPr>
              <w:spacing w:line="240" w:lineRule="auto"/>
              <w:ind w:firstLine="0" w:firstLineChars="0"/>
              <w:jc w:val="center"/>
              <w:rPr>
                <w:rFonts w:cs="宋体"/>
                <w:sz w:val="21"/>
              </w:rPr>
            </w:pPr>
            <w:r>
              <w:rPr>
                <w:rFonts w:hint="eastAsia" w:cs="宋体"/>
                <w:sz w:val="21"/>
              </w:rPr>
              <w:t>34处重点污染点周边，单井深70m</w:t>
            </w:r>
          </w:p>
        </w:tc>
        <w:tc>
          <w:tcPr>
            <w:tcW w:w="1633" w:type="pct"/>
            <w:vAlign w:val="center"/>
          </w:tcPr>
          <w:p>
            <w:pPr>
              <w:spacing w:line="240" w:lineRule="auto"/>
              <w:ind w:firstLine="0" w:firstLineChars="0"/>
              <w:jc w:val="center"/>
              <w:rPr>
                <w:rFonts w:cs="宋体"/>
                <w:sz w:val="21"/>
              </w:rPr>
            </w:pPr>
            <w:r>
              <w:rPr>
                <w:rFonts w:cs="宋体"/>
                <w:sz w:val="21"/>
              </w:rPr>
              <w:t>m</w:t>
            </w:r>
          </w:p>
        </w:tc>
        <w:tc>
          <w:tcPr>
            <w:tcW w:w="812" w:type="pct"/>
            <w:vAlign w:val="center"/>
          </w:tcPr>
          <w:p>
            <w:pPr>
              <w:spacing w:line="240" w:lineRule="auto"/>
              <w:ind w:firstLine="0" w:firstLineChars="0"/>
              <w:jc w:val="center"/>
              <w:rPr>
                <w:rFonts w:cs="宋体"/>
                <w:sz w:val="21"/>
              </w:rPr>
            </w:pPr>
            <w:r>
              <w:rPr>
                <w:rFonts w:hint="eastAsia" w:cs="宋体"/>
                <w:sz w:val="21"/>
              </w:rPr>
              <w:t>4410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测井</w:t>
            </w:r>
          </w:p>
        </w:tc>
        <w:tc>
          <w:tcPr>
            <w:tcW w:w="1633" w:type="pct"/>
            <w:vAlign w:val="center"/>
          </w:tcPr>
          <w:p>
            <w:pPr>
              <w:spacing w:line="240" w:lineRule="auto"/>
              <w:ind w:firstLine="0" w:firstLineChars="0"/>
              <w:jc w:val="center"/>
              <w:rPr>
                <w:rFonts w:cs="宋体"/>
                <w:sz w:val="21"/>
              </w:rPr>
            </w:pPr>
            <w:r>
              <w:rPr>
                <w:rFonts w:hint="eastAsia" w:cs="宋体"/>
                <w:sz w:val="21"/>
              </w:rPr>
              <w:t>m</w:t>
            </w:r>
          </w:p>
        </w:tc>
        <w:tc>
          <w:tcPr>
            <w:tcW w:w="812" w:type="pct"/>
            <w:vAlign w:val="center"/>
          </w:tcPr>
          <w:p>
            <w:pPr>
              <w:spacing w:line="240" w:lineRule="auto"/>
              <w:ind w:firstLine="0" w:firstLineChars="0"/>
              <w:jc w:val="center"/>
              <w:rPr>
                <w:rFonts w:cs="宋体"/>
                <w:sz w:val="21"/>
              </w:rPr>
            </w:pPr>
            <w:r>
              <w:rPr>
                <w:rFonts w:hint="eastAsia" w:cs="宋体"/>
                <w:sz w:val="21"/>
              </w:rPr>
              <w:t>4410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岩心编录</w:t>
            </w:r>
          </w:p>
        </w:tc>
        <w:tc>
          <w:tcPr>
            <w:tcW w:w="1633" w:type="pct"/>
            <w:vAlign w:val="center"/>
          </w:tcPr>
          <w:p>
            <w:pPr>
              <w:spacing w:line="240" w:lineRule="auto"/>
              <w:ind w:firstLine="0" w:firstLineChars="0"/>
              <w:jc w:val="center"/>
              <w:rPr>
                <w:rFonts w:cs="宋体"/>
                <w:sz w:val="21"/>
              </w:rPr>
            </w:pPr>
            <w:r>
              <w:rPr>
                <w:rFonts w:hint="eastAsia" w:cs="宋体"/>
                <w:sz w:val="21"/>
              </w:rPr>
              <w:t>m</w:t>
            </w:r>
          </w:p>
        </w:tc>
        <w:tc>
          <w:tcPr>
            <w:tcW w:w="812" w:type="pct"/>
            <w:vAlign w:val="center"/>
          </w:tcPr>
          <w:p>
            <w:pPr>
              <w:spacing w:line="240" w:lineRule="auto"/>
              <w:ind w:firstLine="0" w:firstLineChars="0"/>
              <w:jc w:val="center"/>
              <w:rPr>
                <w:rFonts w:cs="宋体"/>
                <w:sz w:val="21"/>
              </w:rPr>
            </w:pPr>
            <w:r>
              <w:rPr>
                <w:rFonts w:hint="eastAsia" w:cs="宋体"/>
                <w:sz w:val="21"/>
              </w:rPr>
              <w:t>4410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3</w:t>
            </w:r>
          </w:p>
        </w:tc>
        <w:tc>
          <w:tcPr>
            <w:tcW w:w="654" w:type="pct"/>
            <w:vMerge w:val="restart"/>
            <w:vAlign w:val="center"/>
          </w:tcPr>
          <w:p>
            <w:pPr>
              <w:spacing w:line="240" w:lineRule="auto"/>
              <w:ind w:firstLine="0" w:firstLineChars="0"/>
              <w:jc w:val="center"/>
              <w:rPr>
                <w:rFonts w:cs="宋体"/>
                <w:sz w:val="21"/>
              </w:rPr>
            </w:pPr>
            <w:r>
              <w:rPr>
                <w:rFonts w:hint="eastAsia" w:cs="宋体"/>
                <w:sz w:val="21"/>
              </w:rPr>
              <w:t>工程地质钻探</w:t>
            </w:r>
          </w:p>
        </w:tc>
        <w:tc>
          <w:tcPr>
            <w:tcW w:w="1478" w:type="pct"/>
            <w:vAlign w:val="center"/>
          </w:tcPr>
          <w:p>
            <w:pPr>
              <w:spacing w:line="240" w:lineRule="auto"/>
              <w:ind w:firstLine="0" w:firstLineChars="0"/>
              <w:jc w:val="center"/>
              <w:rPr>
                <w:rFonts w:cs="宋体"/>
                <w:sz w:val="21"/>
              </w:rPr>
            </w:pPr>
            <w:r>
              <w:rPr>
                <w:rFonts w:hint="eastAsia" w:cs="宋体"/>
                <w:sz w:val="21"/>
              </w:rPr>
              <w:t>区域含水层结构探查,单井深70m</w:t>
            </w:r>
          </w:p>
        </w:tc>
        <w:tc>
          <w:tcPr>
            <w:tcW w:w="1633" w:type="pct"/>
            <w:vAlign w:val="center"/>
          </w:tcPr>
          <w:p>
            <w:pPr>
              <w:spacing w:line="240" w:lineRule="auto"/>
              <w:ind w:firstLine="0" w:firstLineChars="0"/>
              <w:jc w:val="center"/>
              <w:rPr>
                <w:rFonts w:cs="宋体"/>
                <w:sz w:val="21"/>
              </w:rPr>
            </w:pPr>
            <w:r>
              <w:rPr>
                <w:rFonts w:hint="eastAsia" w:cs="宋体"/>
                <w:sz w:val="21"/>
              </w:rPr>
              <w:t>m</w:t>
            </w:r>
          </w:p>
        </w:tc>
        <w:tc>
          <w:tcPr>
            <w:tcW w:w="812" w:type="pct"/>
            <w:vAlign w:val="center"/>
          </w:tcPr>
          <w:p>
            <w:pPr>
              <w:spacing w:line="240" w:lineRule="auto"/>
              <w:ind w:firstLine="0" w:firstLineChars="0"/>
              <w:jc w:val="center"/>
              <w:rPr>
                <w:rFonts w:cs="宋体"/>
                <w:sz w:val="21"/>
              </w:rPr>
            </w:pPr>
            <w:r>
              <w:rPr>
                <w:rFonts w:hint="eastAsia" w:cs="宋体"/>
                <w:sz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岩心编录</w:t>
            </w:r>
          </w:p>
        </w:tc>
        <w:tc>
          <w:tcPr>
            <w:tcW w:w="1633" w:type="pct"/>
            <w:vAlign w:val="center"/>
          </w:tcPr>
          <w:p>
            <w:pPr>
              <w:spacing w:line="240" w:lineRule="auto"/>
              <w:ind w:firstLine="0" w:firstLineChars="0"/>
              <w:jc w:val="center"/>
              <w:rPr>
                <w:rFonts w:cs="宋体"/>
                <w:sz w:val="21"/>
              </w:rPr>
            </w:pPr>
            <w:r>
              <w:rPr>
                <w:rFonts w:hint="eastAsia" w:cs="宋体"/>
                <w:sz w:val="21"/>
              </w:rPr>
              <w:t>m</w:t>
            </w:r>
          </w:p>
        </w:tc>
        <w:tc>
          <w:tcPr>
            <w:tcW w:w="812" w:type="pct"/>
            <w:vAlign w:val="center"/>
          </w:tcPr>
          <w:p>
            <w:pPr>
              <w:spacing w:line="240" w:lineRule="auto"/>
              <w:ind w:firstLine="0" w:firstLineChars="0"/>
              <w:jc w:val="center"/>
              <w:rPr>
                <w:rFonts w:cs="宋体"/>
                <w:sz w:val="21"/>
              </w:rPr>
            </w:pPr>
            <w:r>
              <w:rPr>
                <w:rFonts w:hint="eastAsia" w:cs="宋体"/>
                <w:sz w:val="21"/>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4</w:t>
            </w:r>
          </w:p>
        </w:tc>
        <w:tc>
          <w:tcPr>
            <w:tcW w:w="654" w:type="pct"/>
            <w:vMerge w:val="restart"/>
            <w:vAlign w:val="center"/>
          </w:tcPr>
          <w:p>
            <w:pPr>
              <w:spacing w:line="240" w:lineRule="auto"/>
              <w:ind w:firstLine="0" w:firstLineChars="0"/>
              <w:jc w:val="center"/>
              <w:rPr>
                <w:rFonts w:cs="宋体"/>
                <w:sz w:val="21"/>
              </w:rPr>
            </w:pPr>
            <w:r>
              <w:rPr>
                <w:rFonts w:cs="宋体"/>
                <w:sz w:val="21"/>
              </w:rPr>
              <w:t>样品采集</w:t>
            </w:r>
          </w:p>
        </w:tc>
        <w:tc>
          <w:tcPr>
            <w:tcW w:w="1478" w:type="pct"/>
            <w:vAlign w:val="center"/>
          </w:tcPr>
          <w:p>
            <w:pPr>
              <w:spacing w:line="240" w:lineRule="auto"/>
              <w:ind w:firstLine="0" w:firstLineChars="0"/>
              <w:jc w:val="center"/>
              <w:rPr>
                <w:rFonts w:cs="宋体"/>
                <w:sz w:val="21"/>
              </w:rPr>
            </w:pPr>
            <w:r>
              <w:rPr>
                <w:rFonts w:cs="宋体"/>
                <w:sz w:val="21"/>
              </w:rPr>
              <w:t>地下水样品</w:t>
            </w:r>
          </w:p>
        </w:tc>
        <w:tc>
          <w:tcPr>
            <w:tcW w:w="1633" w:type="pct"/>
            <w:vAlign w:val="center"/>
          </w:tcPr>
          <w:p>
            <w:pPr>
              <w:spacing w:line="240" w:lineRule="auto"/>
              <w:ind w:firstLine="0" w:firstLineChars="0"/>
              <w:jc w:val="center"/>
              <w:rPr>
                <w:rFonts w:cs="宋体"/>
                <w:sz w:val="21"/>
              </w:rPr>
            </w:pPr>
            <w:r>
              <w:rPr>
                <w:rFonts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1824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地下水同位素样品</w:t>
            </w:r>
          </w:p>
        </w:tc>
        <w:tc>
          <w:tcPr>
            <w:tcW w:w="1633" w:type="pct"/>
            <w:vAlign w:val="center"/>
          </w:tcPr>
          <w:p>
            <w:pPr>
              <w:spacing w:line="240" w:lineRule="auto"/>
              <w:ind w:firstLine="0" w:firstLineChars="0"/>
              <w:jc w:val="center"/>
              <w:rPr>
                <w:rFonts w:cs="宋体"/>
                <w:sz w:val="21"/>
              </w:rPr>
            </w:pPr>
            <w:r>
              <w:rPr>
                <w:rFonts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岩土</w:t>
            </w:r>
            <w:r>
              <w:rPr>
                <w:rFonts w:cs="宋体"/>
                <w:sz w:val="21"/>
              </w:rPr>
              <w:t>样品</w:t>
            </w:r>
          </w:p>
        </w:tc>
        <w:tc>
          <w:tcPr>
            <w:tcW w:w="1633" w:type="pct"/>
            <w:vAlign w:val="center"/>
          </w:tcPr>
          <w:p>
            <w:pPr>
              <w:spacing w:line="240" w:lineRule="auto"/>
              <w:ind w:firstLine="0" w:firstLineChars="0"/>
              <w:jc w:val="center"/>
              <w:rPr>
                <w:rFonts w:cs="宋体"/>
                <w:sz w:val="21"/>
              </w:rPr>
            </w:pPr>
            <w:r>
              <w:rPr>
                <w:rFonts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828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5</w:t>
            </w:r>
          </w:p>
        </w:tc>
        <w:tc>
          <w:tcPr>
            <w:tcW w:w="654" w:type="pct"/>
            <w:vMerge w:val="restart"/>
            <w:vAlign w:val="center"/>
          </w:tcPr>
          <w:p>
            <w:pPr>
              <w:spacing w:line="240" w:lineRule="auto"/>
              <w:ind w:firstLine="0" w:firstLineChars="0"/>
              <w:jc w:val="center"/>
              <w:rPr>
                <w:rFonts w:cs="宋体"/>
                <w:sz w:val="21"/>
              </w:rPr>
            </w:pPr>
            <w:r>
              <w:rPr>
                <w:rFonts w:hint="eastAsia" w:cs="宋体"/>
                <w:sz w:val="21"/>
              </w:rPr>
              <w:t>样品测试</w:t>
            </w:r>
          </w:p>
        </w:tc>
        <w:tc>
          <w:tcPr>
            <w:tcW w:w="1478" w:type="pct"/>
            <w:vAlign w:val="center"/>
          </w:tcPr>
          <w:p>
            <w:pPr>
              <w:spacing w:line="240" w:lineRule="auto"/>
              <w:ind w:firstLine="0" w:firstLineChars="0"/>
              <w:jc w:val="center"/>
              <w:rPr>
                <w:rFonts w:cs="宋体"/>
                <w:sz w:val="21"/>
              </w:rPr>
            </w:pPr>
            <w:r>
              <w:rPr>
                <w:rFonts w:hint="eastAsia" w:cs="宋体"/>
                <w:sz w:val="21"/>
              </w:rPr>
              <w:t>现场测试</w:t>
            </w:r>
          </w:p>
        </w:tc>
        <w:tc>
          <w:tcPr>
            <w:tcW w:w="1633" w:type="pct"/>
            <w:vAlign w:val="center"/>
          </w:tcPr>
          <w:p>
            <w:pPr>
              <w:spacing w:line="240" w:lineRule="auto"/>
              <w:ind w:firstLine="0" w:firstLineChars="0"/>
              <w:jc w:val="center"/>
              <w:rPr>
                <w:rFonts w:cs="宋体"/>
                <w:sz w:val="21"/>
              </w:rPr>
            </w:pPr>
            <w:r>
              <w:rPr>
                <w:rFonts w:hint="eastAsia"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地下水样品</w:t>
            </w:r>
          </w:p>
        </w:tc>
        <w:tc>
          <w:tcPr>
            <w:tcW w:w="1633" w:type="pct"/>
            <w:vAlign w:val="center"/>
          </w:tcPr>
          <w:p>
            <w:pPr>
              <w:spacing w:line="240" w:lineRule="auto"/>
              <w:ind w:firstLine="0" w:firstLineChars="0"/>
              <w:jc w:val="center"/>
              <w:rPr>
                <w:rFonts w:cs="宋体"/>
                <w:sz w:val="21"/>
              </w:rPr>
            </w:pPr>
            <w:r>
              <w:rPr>
                <w:rFonts w:hint="eastAsia"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1520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地下水样品质控样</w:t>
            </w:r>
          </w:p>
        </w:tc>
        <w:tc>
          <w:tcPr>
            <w:tcW w:w="1633" w:type="pct"/>
            <w:vAlign w:val="center"/>
          </w:tcPr>
          <w:p>
            <w:pPr>
              <w:spacing w:line="240" w:lineRule="auto"/>
              <w:ind w:firstLine="0" w:firstLineChars="0"/>
              <w:jc w:val="center"/>
              <w:rPr>
                <w:rFonts w:cs="宋体"/>
                <w:sz w:val="21"/>
              </w:rPr>
            </w:pPr>
            <w:r>
              <w:rPr>
                <w:rFonts w:hint="eastAsia"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土壤样品</w:t>
            </w:r>
          </w:p>
        </w:tc>
        <w:tc>
          <w:tcPr>
            <w:tcW w:w="1633" w:type="pct"/>
            <w:vAlign w:val="center"/>
          </w:tcPr>
          <w:p>
            <w:pPr>
              <w:spacing w:line="240" w:lineRule="auto"/>
              <w:ind w:firstLine="0" w:firstLineChars="0"/>
              <w:jc w:val="center"/>
              <w:rPr>
                <w:rFonts w:cs="宋体"/>
                <w:sz w:val="21"/>
              </w:rPr>
            </w:pPr>
            <w:r>
              <w:rPr>
                <w:rFonts w:hint="eastAsia"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土壤样品质控样</w:t>
            </w:r>
          </w:p>
        </w:tc>
        <w:tc>
          <w:tcPr>
            <w:tcW w:w="1633" w:type="pct"/>
            <w:vAlign w:val="center"/>
          </w:tcPr>
          <w:p>
            <w:pPr>
              <w:spacing w:line="240" w:lineRule="auto"/>
              <w:ind w:firstLine="0" w:firstLineChars="0"/>
              <w:jc w:val="center"/>
              <w:rPr>
                <w:rFonts w:cs="宋体"/>
                <w:sz w:val="21"/>
              </w:rPr>
            </w:pPr>
            <w:r>
              <w:rPr>
                <w:rFonts w:hint="eastAsia"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2512" w:type="dxa"/>
            <w:vAlign w:val="center"/>
          </w:tcPr>
          <w:p>
            <w:pPr>
              <w:widowControl/>
              <w:spacing w:line="240" w:lineRule="auto"/>
              <w:ind w:firstLine="0" w:firstLineChars="0"/>
              <w:jc w:val="center"/>
              <w:textAlignment w:val="center"/>
              <w:rPr>
                <w:rFonts w:cs="宋体"/>
                <w:sz w:val="21"/>
              </w:rPr>
            </w:pPr>
            <w:r>
              <w:rPr>
                <w:rFonts w:hint="eastAsia" w:ascii="宋体" w:hAnsi="宋体" w:cs="宋体"/>
                <w:color w:val="000000"/>
                <w:kern w:val="0"/>
                <w:sz w:val="21"/>
                <w:szCs w:val="21"/>
                <w:lang w:bidi="ar"/>
              </w:rPr>
              <w:t>释光测年</w:t>
            </w:r>
          </w:p>
        </w:tc>
        <w:tc>
          <w:tcPr>
            <w:tcW w:w="2776" w:type="dxa"/>
            <w:vAlign w:val="center"/>
          </w:tcPr>
          <w:p>
            <w:pPr>
              <w:widowControl/>
              <w:spacing w:line="240" w:lineRule="auto"/>
              <w:ind w:firstLine="0" w:firstLineChars="0"/>
              <w:jc w:val="center"/>
              <w:textAlignment w:val="center"/>
              <w:rPr>
                <w:rFonts w:cs="宋体"/>
                <w:sz w:val="21"/>
              </w:rPr>
            </w:pPr>
            <w:r>
              <w:rPr>
                <w:rFonts w:hint="eastAsia" w:cs="宋体"/>
                <w:sz w:val="21"/>
              </w:rPr>
              <w:t>组</w:t>
            </w:r>
          </w:p>
        </w:tc>
        <w:tc>
          <w:tcPr>
            <w:tcW w:w="1381" w:type="dxa"/>
            <w:vAlign w:val="center"/>
          </w:tcPr>
          <w:p>
            <w:pPr>
              <w:widowControl/>
              <w:spacing w:line="240" w:lineRule="auto"/>
              <w:ind w:firstLine="0" w:firstLineChars="0"/>
              <w:jc w:val="center"/>
              <w:textAlignment w:val="center"/>
              <w:rPr>
                <w:rFonts w:cs="宋体"/>
                <w:sz w:val="21"/>
              </w:rPr>
            </w:pPr>
            <w:r>
              <w:rPr>
                <w:rFonts w:cs="Times New Roman"/>
                <w:color w:val="000000"/>
                <w:kern w:val="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2512" w:type="dxa"/>
            <w:vAlign w:val="center"/>
          </w:tcPr>
          <w:p>
            <w:pPr>
              <w:widowControl/>
              <w:spacing w:line="240" w:lineRule="auto"/>
              <w:ind w:firstLine="0" w:firstLineChars="0"/>
              <w:jc w:val="center"/>
              <w:textAlignment w:val="center"/>
              <w:rPr>
                <w:rFonts w:cs="宋体"/>
                <w:sz w:val="21"/>
              </w:rPr>
            </w:pPr>
            <w:r>
              <w:rPr>
                <w:rFonts w:hint="eastAsia" w:ascii="宋体" w:hAnsi="宋体" w:cs="宋体"/>
                <w:color w:val="000000"/>
                <w:kern w:val="0"/>
                <w:sz w:val="21"/>
                <w:szCs w:val="21"/>
                <w:lang w:bidi="ar"/>
              </w:rPr>
              <w:t>孢粉分析</w:t>
            </w:r>
          </w:p>
        </w:tc>
        <w:tc>
          <w:tcPr>
            <w:tcW w:w="2776" w:type="dxa"/>
            <w:vAlign w:val="center"/>
          </w:tcPr>
          <w:p>
            <w:pPr>
              <w:widowControl/>
              <w:spacing w:line="240" w:lineRule="auto"/>
              <w:ind w:firstLine="0" w:firstLineChars="0"/>
              <w:jc w:val="center"/>
              <w:textAlignment w:val="center"/>
              <w:rPr>
                <w:rFonts w:cs="宋体"/>
                <w:sz w:val="21"/>
              </w:rPr>
            </w:pPr>
            <w:r>
              <w:rPr>
                <w:rFonts w:hint="eastAsia" w:cs="宋体"/>
                <w:sz w:val="21"/>
              </w:rPr>
              <w:t>组</w:t>
            </w:r>
          </w:p>
        </w:tc>
        <w:tc>
          <w:tcPr>
            <w:tcW w:w="1381" w:type="dxa"/>
            <w:vAlign w:val="center"/>
          </w:tcPr>
          <w:p>
            <w:pPr>
              <w:widowControl/>
              <w:spacing w:line="240" w:lineRule="auto"/>
              <w:ind w:firstLine="0" w:firstLineChars="0"/>
              <w:jc w:val="center"/>
              <w:textAlignment w:val="center"/>
              <w:rPr>
                <w:rFonts w:cs="宋体"/>
                <w:sz w:val="21"/>
              </w:rPr>
            </w:pPr>
            <w:r>
              <w:rPr>
                <w:rFonts w:cs="Times New Roman"/>
                <w:color w:val="000000"/>
                <w:kern w:val="0"/>
                <w:sz w:val="21"/>
                <w:szCs w:val="21"/>
                <w:lang w:bidi="ar"/>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2512" w:type="dxa"/>
            <w:vAlign w:val="center"/>
          </w:tcPr>
          <w:p>
            <w:pPr>
              <w:widowControl/>
              <w:spacing w:line="240" w:lineRule="auto"/>
              <w:ind w:firstLine="0" w:firstLineChars="0"/>
              <w:jc w:val="center"/>
              <w:textAlignment w:val="center"/>
              <w:rPr>
                <w:rFonts w:cs="宋体"/>
                <w:sz w:val="21"/>
              </w:rPr>
            </w:pPr>
            <w:r>
              <w:rPr>
                <w:rFonts w:hint="eastAsia" w:ascii="宋体" w:hAnsi="宋体" w:cs="宋体"/>
                <w:color w:val="000000"/>
                <w:kern w:val="0"/>
                <w:sz w:val="21"/>
                <w:szCs w:val="21"/>
                <w:lang w:bidi="ar"/>
              </w:rPr>
              <w:t>古地磁</w:t>
            </w:r>
          </w:p>
        </w:tc>
        <w:tc>
          <w:tcPr>
            <w:tcW w:w="2776" w:type="dxa"/>
            <w:vAlign w:val="center"/>
          </w:tcPr>
          <w:p>
            <w:pPr>
              <w:widowControl/>
              <w:spacing w:line="240" w:lineRule="auto"/>
              <w:ind w:firstLine="0" w:firstLineChars="0"/>
              <w:jc w:val="center"/>
              <w:textAlignment w:val="center"/>
              <w:rPr>
                <w:rFonts w:cs="宋体"/>
                <w:sz w:val="21"/>
              </w:rPr>
            </w:pPr>
            <w:r>
              <w:rPr>
                <w:rFonts w:hint="eastAsia" w:cs="宋体"/>
                <w:sz w:val="21"/>
              </w:rPr>
              <w:t>组</w:t>
            </w:r>
          </w:p>
        </w:tc>
        <w:tc>
          <w:tcPr>
            <w:tcW w:w="1381" w:type="dxa"/>
            <w:vAlign w:val="center"/>
          </w:tcPr>
          <w:p>
            <w:pPr>
              <w:widowControl/>
              <w:spacing w:line="240" w:lineRule="auto"/>
              <w:ind w:firstLine="0" w:firstLineChars="0"/>
              <w:jc w:val="center"/>
              <w:textAlignment w:val="center"/>
              <w:rPr>
                <w:rFonts w:cs="宋体"/>
                <w:sz w:val="21"/>
              </w:rPr>
            </w:pPr>
            <w:r>
              <w:rPr>
                <w:rFonts w:cs="Times New Roman"/>
                <w:color w:val="000000"/>
                <w:kern w:val="0"/>
                <w:sz w:val="21"/>
                <w:szCs w:val="21"/>
                <w:lang w:bidi="ar"/>
              </w:rPr>
              <w:t>420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地下水同位素样品</w:t>
            </w:r>
          </w:p>
        </w:tc>
        <w:tc>
          <w:tcPr>
            <w:tcW w:w="1633" w:type="pct"/>
            <w:vAlign w:val="center"/>
          </w:tcPr>
          <w:p>
            <w:pPr>
              <w:spacing w:line="240" w:lineRule="auto"/>
              <w:ind w:firstLine="0" w:firstLineChars="0"/>
              <w:jc w:val="center"/>
              <w:rPr>
                <w:rFonts w:cs="宋体"/>
                <w:sz w:val="21"/>
              </w:rPr>
            </w:pPr>
            <w:r>
              <w:rPr>
                <w:rFonts w:hint="eastAsia" w:cs="宋体"/>
                <w:sz w:val="21"/>
              </w:rPr>
              <w:t>组</w:t>
            </w:r>
          </w:p>
        </w:tc>
        <w:tc>
          <w:tcPr>
            <w:tcW w:w="812" w:type="pct"/>
            <w:vAlign w:val="center"/>
          </w:tcPr>
          <w:p>
            <w:pPr>
              <w:spacing w:line="240" w:lineRule="auto"/>
              <w:ind w:firstLine="0" w:firstLineChars="0"/>
              <w:jc w:val="center"/>
              <w:rPr>
                <w:rFonts w:cs="宋体"/>
                <w:sz w:val="21"/>
              </w:rPr>
            </w:pPr>
            <w:r>
              <w:rPr>
                <w:rFonts w:hint="eastAsia" w:cs="宋体"/>
                <w:sz w:val="21"/>
              </w:rPr>
              <w:t>320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6</w:t>
            </w:r>
          </w:p>
        </w:tc>
        <w:tc>
          <w:tcPr>
            <w:tcW w:w="654" w:type="pct"/>
            <w:vMerge w:val="restart"/>
            <w:vAlign w:val="center"/>
          </w:tcPr>
          <w:p>
            <w:pPr>
              <w:spacing w:line="240" w:lineRule="auto"/>
              <w:ind w:firstLine="0" w:firstLineChars="0"/>
              <w:jc w:val="center"/>
              <w:rPr>
                <w:rFonts w:cs="宋体"/>
                <w:sz w:val="21"/>
              </w:rPr>
            </w:pPr>
            <w:r>
              <w:rPr>
                <w:rFonts w:hint="eastAsia" w:cs="宋体"/>
                <w:sz w:val="21"/>
              </w:rPr>
              <w:t>原位观测</w:t>
            </w:r>
          </w:p>
        </w:tc>
        <w:tc>
          <w:tcPr>
            <w:tcW w:w="1478" w:type="pct"/>
            <w:vAlign w:val="center"/>
          </w:tcPr>
          <w:p>
            <w:pPr>
              <w:spacing w:line="240" w:lineRule="auto"/>
              <w:ind w:firstLine="0" w:firstLineChars="0"/>
              <w:jc w:val="center"/>
              <w:rPr>
                <w:rFonts w:cs="宋体"/>
                <w:sz w:val="21"/>
              </w:rPr>
            </w:pPr>
            <w:r>
              <w:rPr>
                <w:rFonts w:cs="宋体"/>
                <w:sz w:val="21"/>
              </w:rPr>
              <w:t>新增地下水水位长期在线观测点</w:t>
            </w:r>
          </w:p>
        </w:tc>
        <w:tc>
          <w:tcPr>
            <w:tcW w:w="1633" w:type="pct"/>
            <w:vAlign w:val="center"/>
          </w:tcPr>
          <w:p>
            <w:pPr>
              <w:spacing w:line="240" w:lineRule="auto"/>
              <w:ind w:firstLine="0" w:firstLineChars="0"/>
              <w:jc w:val="center"/>
              <w:rPr>
                <w:rFonts w:cs="宋体"/>
                <w:sz w:val="21"/>
              </w:rPr>
            </w:pPr>
            <w:r>
              <w:rPr>
                <w:rFonts w:cs="宋体"/>
                <w:sz w:val="21"/>
              </w:rPr>
              <w:t>个</w:t>
            </w:r>
          </w:p>
        </w:tc>
        <w:tc>
          <w:tcPr>
            <w:tcW w:w="812" w:type="pct"/>
            <w:vAlign w:val="center"/>
          </w:tcPr>
          <w:p>
            <w:pPr>
              <w:spacing w:line="240" w:lineRule="auto"/>
              <w:ind w:firstLine="0" w:firstLineChars="0"/>
              <w:jc w:val="center"/>
              <w:rPr>
                <w:rFonts w:cs="宋体"/>
                <w:sz w:val="21"/>
              </w:rPr>
            </w:pPr>
            <w:r>
              <w:rPr>
                <w:rFonts w:hint="eastAsia" w:cs="宋体"/>
                <w:sz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新增地下水水质长期在线观测点</w:t>
            </w:r>
          </w:p>
        </w:tc>
        <w:tc>
          <w:tcPr>
            <w:tcW w:w="1633" w:type="pct"/>
            <w:vAlign w:val="center"/>
          </w:tcPr>
          <w:p>
            <w:pPr>
              <w:spacing w:line="240" w:lineRule="auto"/>
              <w:ind w:firstLine="0" w:firstLineChars="0"/>
              <w:jc w:val="center"/>
              <w:rPr>
                <w:rFonts w:cs="宋体"/>
                <w:sz w:val="21"/>
              </w:rPr>
            </w:pPr>
            <w:r>
              <w:rPr>
                <w:rFonts w:cs="宋体"/>
                <w:sz w:val="21"/>
              </w:rPr>
              <w:t>个</w:t>
            </w:r>
          </w:p>
        </w:tc>
        <w:tc>
          <w:tcPr>
            <w:tcW w:w="812" w:type="pct"/>
            <w:vAlign w:val="center"/>
          </w:tcPr>
          <w:p>
            <w:pPr>
              <w:spacing w:line="240" w:lineRule="auto"/>
              <w:ind w:firstLine="0" w:firstLineChars="0"/>
              <w:jc w:val="center"/>
              <w:rPr>
                <w:rFonts w:cs="宋体"/>
                <w:sz w:val="21"/>
              </w:rPr>
            </w:pPr>
            <w:r>
              <w:rPr>
                <w:rFonts w:hint="eastAsia" w:cs="宋体"/>
                <w:sz w:val="21"/>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hint="eastAsia" w:cs="宋体"/>
                <w:sz w:val="21"/>
              </w:rPr>
              <w:t>地下水位统测</w:t>
            </w:r>
          </w:p>
        </w:tc>
        <w:tc>
          <w:tcPr>
            <w:tcW w:w="1633" w:type="pct"/>
            <w:vAlign w:val="center"/>
          </w:tcPr>
          <w:p>
            <w:pPr>
              <w:spacing w:line="240" w:lineRule="auto"/>
              <w:ind w:firstLine="0" w:firstLineChars="0"/>
              <w:jc w:val="center"/>
              <w:rPr>
                <w:rFonts w:cs="宋体"/>
                <w:sz w:val="21"/>
              </w:rPr>
            </w:pPr>
            <w:r>
              <w:rPr>
                <w:rFonts w:hint="eastAsia" w:cs="宋体"/>
                <w:sz w:val="21"/>
              </w:rPr>
              <w:t>点次</w:t>
            </w:r>
          </w:p>
        </w:tc>
        <w:tc>
          <w:tcPr>
            <w:tcW w:w="812" w:type="pct"/>
            <w:vAlign w:val="center"/>
          </w:tcPr>
          <w:p>
            <w:pPr>
              <w:spacing w:line="240" w:lineRule="auto"/>
              <w:ind w:firstLine="0" w:firstLineChars="0"/>
              <w:jc w:val="center"/>
              <w:rPr>
                <w:rFonts w:cs="宋体"/>
                <w:sz w:val="21"/>
              </w:rPr>
            </w:pPr>
            <w:r>
              <w:rPr>
                <w:rFonts w:hint="eastAsia" w:cs="宋体"/>
                <w:sz w:val="21"/>
              </w:rPr>
              <w:t>832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Align w:val="center"/>
          </w:tcPr>
          <w:p>
            <w:pPr>
              <w:spacing w:line="240" w:lineRule="auto"/>
              <w:ind w:firstLine="0" w:firstLineChars="0"/>
              <w:jc w:val="center"/>
              <w:rPr>
                <w:rFonts w:cs="宋体"/>
                <w:sz w:val="21"/>
              </w:rPr>
            </w:pPr>
            <w:r>
              <w:rPr>
                <w:rFonts w:hint="eastAsia" w:cs="宋体"/>
                <w:sz w:val="21"/>
              </w:rPr>
              <w:t>7</w:t>
            </w:r>
          </w:p>
        </w:tc>
        <w:tc>
          <w:tcPr>
            <w:tcW w:w="654" w:type="pct"/>
            <w:vAlign w:val="center"/>
          </w:tcPr>
          <w:p>
            <w:pPr>
              <w:spacing w:line="240" w:lineRule="auto"/>
              <w:ind w:firstLine="0" w:firstLineChars="0"/>
              <w:jc w:val="center"/>
              <w:rPr>
                <w:rFonts w:cs="宋体"/>
                <w:sz w:val="21"/>
              </w:rPr>
            </w:pPr>
            <w:r>
              <w:rPr>
                <w:rFonts w:hint="eastAsia" w:cs="宋体"/>
                <w:sz w:val="21"/>
              </w:rPr>
              <w:t>工程测量</w:t>
            </w:r>
          </w:p>
        </w:tc>
        <w:tc>
          <w:tcPr>
            <w:tcW w:w="1478" w:type="pct"/>
            <w:vAlign w:val="center"/>
          </w:tcPr>
          <w:p>
            <w:pPr>
              <w:spacing w:line="240" w:lineRule="auto"/>
              <w:ind w:firstLine="0" w:firstLineChars="0"/>
              <w:jc w:val="center"/>
              <w:rPr>
                <w:rFonts w:cs="宋体"/>
                <w:sz w:val="21"/>
              </w:rPr>
            </w:pPr>
            <w:r>
              <w:rPr>
                <w:rFonts w:hint="eastAsia" w:cs="宋体"/>
                <w:sz w:val="21"/>
              </w:rPr>
              <w:t>RTK</w:t>
            </w:r>
          </w:p>
        </w:tc>
        <w:tc>
          <w:tcPr>
            <w:tcW w:w="1633" w:type="pct"/>
            <w:vAlign w:val="center"/>
          </w:tcPr>
          <w:p>
            <w:pPr>
              <w:spacing w:line="240" w:lineRule="auto"/>
              <w:ind w:firstLine="0" w:firstLineChars="0"/>
              <w:jc w:val="center"/>
              <w:rPr>
                <w:rFonts w:cs="宋体"/>
                <w:sz w:val="21"/>
              </w:rPr>
            </w:pPr>
            <w:r>
              <w:rPr>
                <w:rFonts w:hint="eastAsia" w:cs="宋体"/>
                <w:sz w:val="21"/>
              </w:rPr>
              <w:t>点次</w:t>
            </w:r>
          </w:p>
        </w:tc>
        <w:tc>
          <w:tcPr>
            <w:tcW w:w="812" w:type="pct"/>
            <w:vAlign w:val="center"/>
          </w:tcPr>
          <w:p>
            <w:pPr>
              <w:spacing w:line="240" w:lineRule="auto"/>
              <w:ind w:firstLine="0" w:firstLineChars="0"/>
              <w:jc w:val="center"/>
              <w:rPr>
                <w:rFonts w:cs="宋体"/>
                <w:sz w:val="21"/>
              </w:rPr>
            </w:pPr>
            <w:r>
              <w:rPr>
                <w:rFonts w:hint="eastAsia" w:cs="宋体"/>
                <w:sz w:val="21"/>
              </w:rPr>
              <w:t>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8</w:t>
            </w:r>
          </w:p>
        </w:tc>
        <w:tc>
          <w:tcPr>
            <w:tcW w:w="654" w:type="pct"/>
            <w:vMerge w:val="restart"/>
            <w:vAlign w:val="center"/>
          </w:tcPr>
          <w:p>
            <w:pPr>
              <w:spacing w:line="240" w:lineRule="auto"/>
              <w:ind w:firstLine="0" w:firstLineChars="0"/>
              <w:jc w:val="center"/>
              <w:rPr>
                <w:rFonts w:cs="宋体"/>
                <w:sz w:val="21"/>
              </w:rPr>
            </w:pPr>
            <w:r>
              <w:rPr>
                <w:rFonts w:cs="宋体"/>
                <w:sz w:val="21"/>
              </w:rPr>
              <w:t>数值模拟</w:t>
            </w:r>
          </w:p>
        </w:tc>
        <w:tc>
          <w:tcPr>
            <w:tcW w:w="1478" w:type="pct"/>
            <w:vAlign w:val="center"/>
          </w:tcPr>
          <w:p>
            <w:pPr>
              <w:spacing w:line="240" w:lineRule="auto"/>
              <w:ind w:firstLine="0" w:firstLineChars="0"/>
              <w:jc w:val="center"/>
              <w:rPr>
                <w:rFonts w:cs="宋体"/>
                <w:sz w:val="21"/>
              </w:rPr>
            </w:pPr>
            <w:r>
              <w:rPr>
                <w:rFonts w:hint="eastAsia" w:cs="宋体"/>
                <w:sz w:val="21"/>
              </w:rPr>
              <w:t>一亩泉水源地</w:t>
            </w:r>
            <w:r>
              <w:rPr>
                <w:rFonts w:cs="宋体"/>
                <w:sz w:val="21"/>
              </w:rPr>
              <w:t>典型水文地质单元</w:t>
            </w:r>
          </w:p>
        </w:tc>
        <w:tc>
          <w:tcPr>
            <w:tcW w:w="1633" w:type="pct"/>
            <w:vAlign w:val="center"/>
          </w:tcPr>
          <w:p>
            <w:pPr>
              <w:spacing w:line="240" w:lineRule="auto"/>
              <w:ind w:firstLine="0" w:firstLineChars="0"/>
              <w:jc w:val="center"/>
              <w:rPr>
                <w:rFonts w:cs="宋体"/>
                <w:sz w:val="21"/>
              </w:rPr>
            </w:pPr>
            <w:r>
              <w:rPr>
                <w:rFonts w:cs="宋体"/>
                <w:sz w:val="21"/>
              </w:rPr>
              <w:t>个</w:t>
            </w:r>
          </w:p>
        </w:tc>
        <w:tc>
          <w:tcPr>
            <w:tcW w:w="812" w:type="pct"/>
            <w:vAlign w:val="center"/>
          </w:tcPr>
          <w:p>
            <w:pPr>
              <w:spacing w:line="240" w:lineRule="auto"/>
              <w:ind w:firstLine="0" w:firstLineChars="0"/>
              <w:jc w:val="center"/>
              <w:rPr>
                <w:rFonts w:cs="宋体"/>
                <w:sz w:val="21"/>
              </w:rPr>
            </w:pPr>
            <w:r>
              <w:rPr>
                <w:rFonts w:hint="eastAsia"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典型污染场地</w:t>
            </w:r>
          </w:p>
        </w:tc>
        <w:tc>
          <w:tcPr>
            <w:tcW w:w="1633" w:type="pct"/>
            <w:vAlign w:val="center"/>
          </w:tcPr>
          <w:p>
            <w:pPr>
              <w:spacing w:line="240" w:lineRule="auto"/>
              <w:ind w:firstLine="0" w:firstLineChars="0"/>
              <w:jc w:val="center"/>
              <w:rPr>
                <w:rFonts w:cs="宋体"/>
                <w:sz w:val="21"/>
              </w:rPr>
            </w:pPr>
            <w:r>
              <w:rPr>
                <w:rFonts w:cs="宋体"/>
                <w:sz w:val="21"/>
              </w:rPr>
              <w:t>个</w:t>
            </w:r>
          </w:p>
        </w:tc>
        <w:tc>
          <w:tcPr>
            <w:tcW w:w="812" w:type="pct"/>
            <w:vAlign w:val="center"/>
          </w:tcPr>
          <w:p>
            <w:pPr>
              <w:spacing w:line="240" w:lineRule="auto"/>
              <w:ind w:firstLine="0" w:firstLineChars="0"/>
              <w:jc w:val="center"/>
              <w:rPr>
                <w:rFonts w:cs="宋体"/>
                <w:sz w:val="21"/>
              </w:rPr>
            </w:pPr>
            <w:r>
              <w:rPr>
                <w:rFonts w:hint="eastAsia" w:cs="宋体"/>
                <w:sz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Align w:val="center"/>
          </w:tcPr>
          <w:p>
            <w:pPr>
              <w:spacing w:line="240" w:lineRule="auto"/>
              <w:ind w:firstLine="0" w:firstLineChars="0"/>
              <w:jc w:val="center"/>
              <w:rPr>
                <w:rFonts w:cs="宋体"/>
                <w:sz w:val="21"/>
              </w:rPr>
            </w:pPr>
            <w:r>
              <w:rPr>
                <w:rFonts w:hint="eastAsia" w:cs="宋体"/>
                <w:sz w:val="21"/>
              </w:rPr>
              <w:t>9</w:t>
            </w:r>
          </w:p>
        </w:tc>
        <w:tc>
          <w:tcPr>
            <w:tcW w:w="654" w:type="pct"/>
            <w:vAlign w:val="center"/>
          </w:tcPr>
          <w:p>
            <w:pPr>
              <w:spacing w:line="240" w:lineRule="auto"/>
              <w:ind w:firstLine="0" w:firstLineChars="0"/>
              <w:jc w:val="center"/>
              <w:rPr>
                <w:rFonts w:cs="宋体"/>
                <w:sz w:val="21"/>
              </w:rPr>
            </w:pPr>
            <w:r>
              <w:rPr>
                <w:rFonts w:hint="eastAsia" w:cs="宋体"/>
                <w:sz w:val="21"/>
              </w:rPr>
              <w:t>数据库</w:t>
            </w:r>
          </w:p>
        </w:tc>
        <w:tc>
          <w:tcPr>
            <w:tcW w:w="1478" w:type="pct"/>
            <w:vAlign w:val="center"/>
          </w:tcPr>
          <w:p>
            <w:pPr>
              <w:spacing w:line="240" w:lineRule="auto"/>
              <w:ind w:firstLine="0" w:firstLineChars="0"/>
              <w:jc w:val="center"/>
              <w:rPr>
                <w:rFonts w:cs="宋体"/>
                <w:sz w:val="21"/>
              </w:rPr>
            </w:pPr>
            <w:r>
              <w:rPr>
                <w:rFonts w:hint="eastAsia" w:cs="宋体"/>
                <w:sz w:val="21"/>
              </w:rPr>
              <w:t>项目数据库</w:t>
            </w:r>
          </w:p>
        </w:tc>
        <w:tc>
          <w:tcPr>
            <w:tcW w:w="1633" w:type="pct"/>
            <w:vAlign w:val="center"/>
          </w:tcPr>
          <w:p>
            <w:pPr>
              <w:spacing w:line="240" w:lineRule="auto"/>
              <w:ind w:firstLine="0" w:firstLineChars="0"/>
              <w:jc w:val="center"/>
              <w:rPr>
                <w:rFonts w:cs="宋体"/>
                <w:sz w:val="21"/>
              </w:rPr>
            </w:pPr>
            <w:r>
              <w:rPr>
                <w:rFonts w:hint="eastAsia" w:cs="宋体"/>
                <w:sz w:val="21"/>
              </w:rPr>
              <w:t>个</w:t>
            </w:r>
          </w:p>
        </w:tc>
        <w:tc>
          <w:tcPr>
            <w:tcW w:w="812" w:type="pct"/>
            <w:vAlign w:val="center"/>
          </w:tcPr>
          <w:p>
            <w:pPr>
              <w:spacing w:line="240" w:lineRule="auto"/>
              <w:ind w:firstLine="0" w:firstLineChars="0"/>
              <w:jc w:val="center"/>
              <w:rPr>
                <w:rFonts w:cs="宋体"/>
                <w:sz w:val="21"/>
              </w:rPr>
            </w:pPr>
            <w:r>
              <w:rPr>
                <w:rFonts w:hint="eastAsia"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restart"/>
            <w:vAlign w:val="center"/>
          </w:tcPr>
          <w:p>
            <w:pPr>
              <w:spacing w:line="240" w:lineRule="auto"/>
              <w:ind w:firstLine="0" w:firstLineChars="0"/>
              <w:jc w:val="center"/>
              <w:rPr>
                <w:rFonts w:cs="宋体"/>
                <w:sz w:val="21"/>
              </w:rPr>
            </w:pPr>
            <w:r>
              <w:rPr>
                <w:rFonts w:hint="eastAsia" w:cs="宋体"/>
                <w:sz w:val="21"/>
              </w:rPr>
              <w:t>10</w:t>
            </w:r>
          </w:p>
        </w:tc>
        <w:tc>
          <w:tcPr>
            <w:tcW w:w="654" w:type="pct"/>
            <w:vMerge w:val="restart"/>
            <w:vAlign w:val="center"/>
          </w:tcPr>
          <w:p>
            <w:pPr>
              <w:spacing w:line="240" w:lineRule="auto"/>
              <w:ind w:firstLine="0" w:firstLineChars="0"/>
              <w:jc w:val="center"/>
              <w:rPr>
                <w:rFonts w:cs="宋体"/>
                <w:sz w:val="21"/>
              </w:rPr>
            </w:pPr>
            <w:r>
              <w:rPr>
                <w:rFonts w:cs="宋体"/>
                <w:sz w:val="21"/>
              </w:rPr>
              <w:t>报告及图件编制</w:t>
            </w:r>
          </w:p>
        </w:tc>
        <w:tc>
          <w:tcPr>
            <w:tcW w:w="1478" w:type="pct"/>
            <w:vAlign w:val="center"/>
          </w:tcPr>
          <w:p>
            <w:pPr>
              <w:spacing w:line="240" w:lineRule="auto"/>
              <w:ind w:firstLine="0" w:firstLineChars="0"/>
              <w:jc w:val="center"/>
              <w:rPr>
                <w:rFonts w:cs="宋体"/>
                <w:sz w:val="21"/>
              </w:rPr>
            </w:pPr>
            <w:r>
              <w:rPr>
                <w:rFonts w:cs="宋体"/>
                <w:sz w:val="21"/>
              </w:rPr>
              <w:t>编写实施方案</w:t>
            </w:r>
          </w:p>
        </w:tc>
        <w:tc>
          <w:tcPr>
            <w:tcW w:w="1633" w:type="pct"/>
            <w:vAlign w:val="center"/>
          </w:tcPr>
          <w:p>
            <w:pPr>
              <w:spacing w:line="240" w:lineRule="auto"/>
              <w:ind w:firstLine="0" w:firstLineChars="0"/>
              <w:jc w:val="center"/>
              <w:rPr>
                <w:rFonts w:cs="宋体"/>
                <w:sz w:val="21"/>
              </w:rPr>
            </w:pPr>
            <w:r>
              <w:rPr>
                <w:rFonts w:hint="eastAsia" w:cs="宋体"/>
                <w:sz w:val="21"/>
              </w:rPr>
              <w:t>份</w:t>
            </w:r>
          </w:p>
        </w:tc>
        <w:tc>
          <w:tcPr>
            <w:tcW w:w="812" w:type="pct"/>
            <w:vAlign w:val="center"/>
          </w:tcPr>
          <w:p>
            <w:pPr>
              <w:spacing w:line="240" w:lineRule="auto"/>
              <w:ind w:firstLine="0" w:firstLineChars="0"/>
              <w:jc w:val="center"/>
              <w:rPr>
                <w:rFonts w:cs="宋体"/>
                <w:sz w:val="21"/>
              </w:rPr>
            </w:pPr>
            <w:r>
              <w:rPr>
                <w:rFonts w:hint="eastAsia"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编写成果报告</w:t>
            </w:r>
          </w:p>
        </w:tc>
        <w:tc>
          <w:tcPr>
            <w:tcW w:w="1633" w:type="pct"/>
            <w:vAlign w:val="center"/>
          </w:tcPr>
          <w:p>
            <w:pPr>
              <w:spacing w:line="240" w:lineRule="auto"/>
              <w:ind w:firstLine="0" w:firstLineChars="0"/>
              <w:jc w:val="center"/>
              <w:rPr>
                <w:rFonts w:cs="宋体"/>
                <w:sz w:val="21"/>
              </w:rPr>
            </w:pPr>
            <w:r>
              <w:rPr>
                <w:rFonts w:cs="宋体"/>
                <w:sz w:val="21"/>
              </w:rPr>
              <w:t>份</w:t>
            </w:r>
          </w:p>
        </w:tc>
        <w:tc>
          <w:tcPr>
            <w:tcW w:w="812" w:type="pct"/>
            <w:vAlign w:val="center"/>
          </w:tcPr>
          <w:p>
            <w:pPr>
              <w:spacing w:line="240" w:lineRule="auto"/>
              <w:ind w:firstLine="0" w:firstLineChars="0"/>
              <w:jc w:val="center"/>
              <w:rPr>
                <w:rFonts w:cs="宋体"/>
                <w:sz w:val="21"/>
              </w:rPr>
            </w:pPr>
            <w:r>
              <w:rPr>
                <w:rFonts w:hint="eastAsia" w:cs="宋体"/>
                <w:sz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0" w:type="pct"/>
            <w:vMerge w:val="continue"/>
            <w:vAlign w:val="center"/>
          </w:tcPr>
          <w:p>
            <w:pPr>
              <w:spacing w:line="240" w:lineRule="auto"/>
              <w:ind w:firstLine="0" w:firstLineChars="0"/>
              <w:jc w:val="center"/>
              <w:rPr>
                <w:rFonts w:cs="宋体"/>
                <w:sz w:val="21"/>
              </w:rPr>
            </w:pPr>
          </w:p>
        </w:tc>
        <w:tc>
          <w:tcPr>
            <w:tcW w:w="654" w:type="pct"/>
            <w:vMerge w:val="continue"/>
            <w:vAlign w:val="center"/>
          </w:tcPr>
          <w:p>
            <w:pPr>
              <w:spacing w:line="240" w:lineRule="auto"/>
              <w:ind w:firstLine="0" w:firstLineChars="0"/>
              <w:jc w:val="center"/>
              <w:rPr>
                <w:rFonts w:cs="宋体"/>
                <w:sz w:val="21"/>
              </w:rPr>
            </w:pPr>
          </w:p>
        </w:tc>
        <w:tc>
          <w:tcPr>
            <w:tcW w:w="1478" w:type="pct"/>
            <w:vAlign w:val="center"/>
          </w:tcPr>
          <w:p>
            <w:pPr>
              <w:spacing w:line="240" w:lineRule="auto"/>
              <w:ind w:firstLine="0" w:firstLineChars="0"/>
              <w:jc w:val="center"/>
              <w:rPr>
                <w:rFonts w:cs="宋体"/>
                <w:sz w:val="21"/>
              </w:rPr>
            </w:pPr>
            <w:r>
              <w:rPr>
                <w:rFonts w:cs="宋体"/>
                <w:sz w:val="21"/>
              </w:rPr>
              <w:t>报告、图纸印刷</w:t>
            </w:r>
          </w:p>
        </w:tc>
        <w:tc>
          <w:tcPr>
            <w:tcW w:w="1633" w:type="pct"/>
            <w:vAlign w:val="center"/>
          </w:tcPr>
          <w:p>
            <w:pPr>
              <w:spacing w:line="240" w:lineRule="auto"/>
              <w:ind w:firstLine="0" w:firstLineChars="0"/>
              <w:jc w:val="center"/>
              <w:rPr>
                <w:rFonts w:cs="宋体"/>
                <w:sz w:val="21"/>
              </w:rPr>
            </w:pPr>
            <w:r>
              <w:rPr>
                <w:rFonts w:cs="宋体"/>
                <w:sz w:val="21"/>
              </w:rPr>
              <w:t>份</w:t>
            </w:r>
          </w:p>
        </w:tc>
        <w:tc>
          <w:tcPr>
            <w:tcW w:w="812" w:type="pct"/>
            <w:vAlign w:val="center"/>
          </w:tcPr>
          <w:p>
            <w:pPr>
              <w:spacing w:line="240" w:lineRule="auto"/>
              <w:ind w:firstLine="0" w:firstLineChars="0"/>
              <w:jc w:val="center"/>
              <w:rPr>
                <w:rFonts w:cs="宋体"/>
                <w:sz w:val="21"/>
              </w:rPr>
            </w:pPr>
            <w:r>
              <w:rPr>
                <w:rFonts w:hint="eastAsia" w:cs="宋体"/>
                <w:sz w:val="21"/>
              </w:rPr>
              <w:t>1</w:t>
            </w:r>
          </w:p>
        </w:tc>
      </w:tr>
    </w:tbl>
    <w:p>
      <w:pPr>
        <w:pStyle w:val="37"/>
        <w:ind w:firstLine="0" w:firstLineChars="0"/>
        <w:rPr>
          <w:rFonts w:cs="Times New Roman"/>
          <w:b/>
          <w:sz w:val="32"/>
          <w:szCs w:val="32"/>
        </w:rPr>
      </w:pPr>
    </w:p>
    <w:p>
      <w:pPr>
        <w:pStyle w:val="5"/>
        <w:ind w:firstLine="602"/>
        <w:rPr>
          <w:b/>
          <w:bCs/>
        </w:rPr>
      </w:pPr>
      <w:bookmarkStart w:id="73" w:name="_Toc118098361"/>
      <w:r>
        <w:rPr>
          <w:rFonts w:hint="eastAsia"/>
          <w:b/>
          <w:bCs/>
        </w:rPr>
        <w:t>4.4 预期成果</w:t>
      </w:r>
      <w:bookmarkEnd w:id="73"/>
    </w:p>
    <w:p>
      <w:pPr>
        <w:pStyle w:val="6"/>
        <w:ind w:firstLine="562"/>
        <w:rPr>
          <w:szCs w:val="28"/>
        </w:rPr>
      </w:pPr>
      <w:bookmarkStart w:id="74" w:name="_Toc13699"/>
      <w:r>
        <w:rPr>
          <w:rFonts w:hint="eastAsia"/>
          <w:szCs w:val="28"/>
        </w:rPr>
        <w:t>4.4.1 成果报告</w:t>
      </w:r>
      <w:bookmarkEnd w:id="74"/>
    </w:p>
    <w:p>
      <w:pPr>
        <w:ind w:firstLine="560"/>
        <w:rPr>
          <w:rFonts w:cs="Times New Roman"/>
          <w:szCs w:val="28"/>
        </w:rPr>
      </w:pPr>
      <w:r>
        <w:rPr>
          <w:rFonts w:cs="Times New Roman"/>
          <w:szCs w:val="28"/>
        </w:rPr>
        <w:t>保定市一亩泉地下水型集中式生活饮用水水源地地下水环境状况详细调查与评估项目</w:t>
      </w:r>
    </w:p>
    <w:p>
      <w:pPr>
        <w:pStyle w:val="6"/>
        <w:ind w:firstLine="562"/>
        <w:rPr>
          <w:szCs w:val="28"/>
        </w:rPr>
      </w:pPr>
      <w:bookmarkStart w:id="75" w:name="_Toc10590"/>
      <w:r>
        <w:rPr>
          <w:rFonts w:hint="eastAsia"/>
          <w:szCs w:val="28"/>
        </w:rPr>
        <w:t>4.4.2 附图</w:t>
      </w:r>
      <w:bookmarkEnd w:id="75"/>
    </w:p>
    <w:p>
      <w:pPr>
        <w:ind w:firstLine="560"/>
        <w:rPr>
          <w:rFonts w:cs="Times New Roman"/>
          <w:szCs w:val="28"/>
        </w:rPr>
      </w:pPr>
      <w:r>
        <w:rPr>
          <w:rFonts w:hint="eastAsia" w:cs="Times New Roman"/>
          <w:szCs w:val="28"/>
        </w:rPr>
        <w:t>包括一亩泉水源地地水文地质图、地下水污染状况分布图、地下水污染源及敏感点分布图、污染区地下水污染羽二维/三维空间分布图、地下水健康风险评价分区图等图件。</w:t>
      </w:r>
    </w:p>
    <w:p>
      <w:pPr>
        <w:pStyle w:val="6"/>
        <w:ind w:firstLine="562"/>
        <w:rPr>
          <w:szCs w:val="28"/>
        </w:rPr>
      </w:pPr>
      <w:bookmarkStart w:id="76" w:name="_Toc31144"/>
      <w:r>
        <w:rPr>
          <w:rFonts w:hint="eastAsia"/>
          <w:szCs w:val="28"/>
        </w:rPr>
        <w:t>4.4.3 附表</w:t>
      </w:r>
      <w:bookmarkEnd w:id="76"/>
    </w:p>
    <w:p>
      <w:pPr>
        <w:ind w:firstLine="560"/>
      </w:pPr>
      <w:r>
        <w:rPr>
          <w:rFonts w:hint="eastAsia" w:cs="Times New Roman"/>
          <w:szCs w:val="28"/>
        </w:rPr>
        <w:t>调查评估工作产生的成果附表。</w:t>
      </w:r>
    </w:p>
    <w:p>
      <w:pPr>
        <w:pStyle w:val="6"/>
        <w:ind w:firstLine="562"/>
        <w:rPr>
          <w:szCs w:val="28"/>
        </w:rPr>
      </w:pPr>
      <w:bookmarkStart w:id="77" w:name="_Toc23976"/>
      <w:r>
        <w:rPr>
          <w:rFonts w:hint="eastAsia"/>
          <w:szCs w:val="28"/>
        </w:rPr>
        <w:t>4.4.4 模型</w:t>
      </w:r>
    </w:p>
    <w:p>
      <w:pPr>
        <w:ind w:firstLine="560"/>
        <w:rPr>
          <w:rFonts w:cs="Times New Roman"/>
          <w:szCs w:val="28"/>
        </w:rPr>
      </w:pPr>
      <w:r>
        <w:rPr>
          <w:rFonts w:hint="eastAsia" w:cs="Times New Roman"/>
          <w:szCs w:val="28"/>
        </w:rPr>
        <w:t>一亩泉水源地地下水数值模拟模型1套，典型污染场地数值模拟模型2套。</w:t>
      </w:r>
    </w:p>
    <w:p>
      <w:pPr>
        <w:pStyle w:val="6"/>
        <w:ind w:firstLine="562"/>
        <w:rPr>
          <w:szCs w:val="28"/>
        </w:rPr>
      </w:pPr>
      <w:r>
        <w:rPr>
          <w:rFonts w:hint="eastAsia"/>
          <w:szCs w:val="28"/>
        </w:rPr>
        <w:t>4.4.5 数据库（集）</w:t>
      </w:r>
    </w:p>
    <w:p>
      <w:pPr>
        <w:ind w:firstLine="560"/>
        <w:rPr>
          <w:rFonts w:cs="Times New Roman"/>
          <w:szCs w:val="28"/>
        </w:rPr>
      </w:pPr>
      <w:r>
        <w:rPr>
          <w:rFonts w:hint="eastAsia" w:cs="Times New Roman"/>
          <w:szCs w:val="28"/>
        </w:rPr>
        <w:t>包括原始资料数据库、空间数据库、模型数据库等。</w:t>
      </w:r>
    </w:p>
    <w:p>
      <w:pPr>
        <w:pStyle w:val="6"/>
        <w:ind w:firstLine="562"/>
        <w:rPr>
          <w:szCs w:val="28"/>
        </w:rPr>
      </w:pPr>
      <w:r>
        <w:rPr>
          <w:rFonts w:hint="eastAsia"/>
          <w:szCs w:val="28"/>
        </w:rPr>
        <w:t>4.4.6 附件</w:t>
      </w:r>
      <w:bookmarkEnd w:id="77"/>
    </w:p>
    <w:p>
      <w:pPr>
        <w:ind w:firstLine="560"/>
        <w:rPr>
          <w:rFonts w:cs="Times New Roman"/>
          <w:szCs w:val="28"/>
        </w:rPr>
      </w:pPr>
      <w:r>
        <w:rPr>
          <w:rFonts w:hint="eastAsia" w:cs="Times New Roman"/>
          <w:szCs w:val="28"/>
        </w:rPr>
        <w:t>地下水环境监测网优化建设、地下水污染防控及修复建议等专题成果报告附件。</w:t>
      </w:r>
    </w:p>
    <w:p>
      <w:pPr>
        <w:pStyle w:val="5"/>
        <w:ind w:firstLine="602"/>
        <w:rPr>
          <w:b/>
          <w:bCs/>
        </w:rPr>
      </w:pPr>
      <w:bookmarkStart w:id="78" w:name="_Toc118098362"/>
      <w:r>
        <w:rPr>
          <w:rFonts w:hint="eastAsia"/>
          <w:b/>
          <w:bCs/>
        </w:rPr>
        <w:t>4.5 组织实施</w:t>
      </w:r>
      <w:bookmarkEnd w:id="78"/>
    </w:p>
    <w:p>
      <w:pPr>
        <w:ind w:firstLine="560"/>
        <w:rPr>
          <w:szCs w:val="28"/>
        </w:rPr>
      </w:pPr>
      <w:r>
        <w:rPr>
          <w:kern w:val="0"/>
          <w:szCs w:val="28"/>
        </w:rPr>
        <w:t>1</w:t>
      </w:r>
      <w:r>
        <w:rPr>
          <w:rFonts w:hint="eastAsia"/>
          <w:kern w:val="0"/>
          <w:szCs w:val="28"/>
        </w:rPr>
        <w:t xml:space="preserve">. </w:t>
      </w:r>
      <w:r>
        <w:rPr>
          <w:kern w:val="0"/>
          <w:szCs w:val="28"/>
        </w:rPr>
        <w:t>地方政府召集生态环境、自然资源、水利等有关部门成立</w:t>
      </w:r>
      <w:r>
        <w:rPr>
          <w:rFonts w:hint="eastAsia"/>
          <w:kern w:val="0"/>
          <w:szCs w:val="28"/>
        </w:rPr>
        <w:t>一亩泉水源地地下水环境风险管控</w:t>
      </w:r>
      <w:r>
        <w:rPr>
          <w:kern w:val="0"/>
          <w:szCs w:val="28"/>
        </w:rPr>
        <w:t xml:space="preserve">领导小组，负责协调、指导项目实施方案和资金的落实工作，研究解决重大工作问题。领导小组内各部门明确各单位职责分工，建立责任分工制，把工作分解到位，把责任落实到人，建立工作信息定期报送制度，将工作进展情况报送市生态环境局并抄送相关市直部门。市生态环境局和其它市直部门要强化监督管理，及时组织针对性的检查和督察工作。生态环境部门和相关行政部门要通过定期检查制度，促进工作走上良性发展道路。 </w:t>
      </w:r>
    </w:p>
    <w:p>
      <w:pPr>
        <w:ind w:firstLine="560"/>
        <w:rPr>
          <w:szCs w:val="28"/>
        </w:rPr>
      </w:pPr>
      <w:r>
        <w:rPr>
          <w:kern w:val="0"/>
          <w:szCs w:val="28"/>
        </w:rPr>
        <w:t>2</w:t>
      </w:r>
      <w:r>
        <w:rPr>
          <w:rFonts w:hint="eastAsia"/>
          <w:kern w:val="0"/>
          <w:szCs w:val="28"/>
        </w:rPr>
        <w:t>.</w:t>
      </w:r>
      <w:r>
        <w:rPr>
          <w:kern w:val="0"/>
          <w:szCs w:val="28"/>
        </w:rPr>
        <w:t>为保障本项目的有序实施，成立专门的项目领导办公室，决定项目在实施过程中的重大问题，有效调动资源，确保各部门间的相互配合和协作。领导小组下设项目管理办公室，项目管理办公室下设项目部，项目部职能由项目主持实施单位承担，项目部具体负责项目技术工作的组织实施。聘请相关领域专家、学者组成专家顾问组，对项目立项论证、设计编制、项目实施和成果编制等提供技术指导和咨询，并参与项目重大技术问题的</w:t>
      </w:r>
      <w:r>
        <w:rPr>
          <w:rFonts w:hint="eastAsia"/>
          <w:kern w:val="0"/>
          <w:szCs w:val="28"/>
        </w:rPr>
        <w:t>研讨</w:t>
      </w:r>
      <w:r>
        <w:rPr>
          <w:kern w:val="0"/>
          <w:szCs w:val="28"/>
        </w:rPr>
        <w:t xml:space="preserve">。 </w:t>
      </w:r>
    </w:p>
    <w:p>
      <w:pPr>
        <w:ind w:firstLine="560"/>
        <w:rPr>
          <w:szCs w:val="28"/>
        </w:rPr>
      </w:pPr>
      <w:r>
        <w:rPr>
          <w:kern w:val="0"/>
          <w:szCs w:val="28"/>
        </w:rPr>
        <w:t>（1）项目领导小组</w:t>
      </w:r>
    </w:p>
    <w:p>
      <w:pPr>
        <w:ind w:firstLine="560"/>
        <w:rPr>
          <w:szCs w:val="28"/>
        </w:rPr>
      </w:pPr>
      <w:r>
        <w:rPr>
          <w:kern w:val="0"/>
          <w:szCs w:val="28"/>
        </w:rPr>
        <w:t xml:space="preserve">项目领导小组由牵头单位及参建单位相关人员组成，负责项目的总体指挥和协调。主要职责：负责本项目的组织领导；负责审定项目工作方案；负责协调和决定重大问题；负责项目阶段性验收和最终成果的初审；负责协调各成员单位的关系。 </w:t>
      </w:r>
    </w:p>
    <w:p>
      <w:pPr>
        <w:ind w:firstLine="560"/>
        <w:rPr>
          <w:szCs w:val="28"/>
        </w:rPr>
      </w:pPr>
      <w:r>
        <w:rPr>
          <w:kern w:val="0"/>
          <w:szCs w:val="28"/>
        </w:rPr>
        <w:t xml:space="preserve">（2）项目管理办公室 </w:t>
      </w:r>
    </w:p>
    <w:p>
      <w:pPr>
        <w:ind w:firstLine="560"/>
        <w:rPr>
          <w:kern w:val="0"/>
          <w:szCs w:val="28"/>
        </w:rPr>
      </w:pPr>
      <w:r>
        <w:rPr>
          <w:kern w:val="0"/>
          <w:szCs w:val="28"/>
        </w:rPr>
        <w:t>项目管理办公室作为项目管理的日常办事机构，负责领导小组成员单位与项目参建单位的联系沟通；负责督促项目参建单位按领导小组批准的工作方案推进调查评价工作；组织项目阶段性成果验收和最终成果的初审工作；负责上报阶段性成果和最终成果；完成领导小组交办的其它工作。</w:t>
      </w:r>
    </w:p>
    <w:p>
      <w:pPr>
        <w:ind w:firstLine="560"/>
        <w:rPr>
          <w:kern w:val="0"/>
          <w:szCs w:val="28"/>
        </w:rPr>
      </w:pPr>
      <w:r>
        <w:rPr>
          <w:kern w:val="0"/>
          <w:szCs w:val="28"/>
        </w:rPr>
        <w:t xml:space="preserve">（3）项目部 </w:t>
      </w:r>
    </w:p>
    <w:p>
      <w:pPr>
        <w:ind w:firstLine="560"/>
        <w:rPr>
          <w:kern w:val="0"/>
          <w:szCs w:val="28"/>
        </w:rPr>
      </w:pPr>
      <w:r>
        <w:rPr>
          <w:kern w:val="0"/>
          <w:szCs w:val="28"/>
        </w:rPr>
        <w:t xml:space="preserve">组建所有参建单位为项目部成员，负责项目的具体实施。项目部设项目负责人，全面负责项目实施组织管理工作；第二层下设项目办公室、项目副负责人和技术负责人。针对项目实施的各项职责内容，第三层设协调管理组、财务合同管理组、技术管理组、资料管理组及安全保障组等职能管理组；根据项目工作需要由项目领导小组在专家库里选聘专家组成。 </w:t>
      </w:r>
    </w:p>
    <w:p>
      <w:pPr>
        <w:pStyle w:val="5"/>
        <w:ind w:firstLine="602"/>
        <w:rPr>
          <w:b/>
          <w:bCs/>
        </w:rPr>
      </w:pPr>
      <w:bookmarkStart w:id="79" w:name="_Toc15571"/>
      <w:bookmarkStart w:id="80" w:name="_Toc118098363"/>
      <w:r>
        <w:rPr>
          <w:rFonts w:hint="eastAsia"/>
          <w:b/>
          <w:bCs/>
        </w:rPr>
        <w:t>4.6 实施进度计划</w:t>
      </w:r>
      <w:bookmarkEnd w:id="79"/>
      <w:bookmarkEnd w:id="80"/>
      <w:r>
        <w:rPr>
          <w:rFonts w:hint="eastAsia"/>
          <w:b/>
          <w:bCs/>
        </w:rPr>
        <w:t xml:space="preserve"> </w:t>
      </w:r>
    </w:p>
    <w:p>
      <w:pPr>
        <w:ind w:firstLine="560"/>
        <w:rPr>
          <w:kern w:val="0"/>
          <w:szCs w:val="28"/>
        </w:rPr>
      </w:pPr>
      <w:r>
        <w:rPr>
          <w:kern w:val="0"/>
          <w:szCs w:val="28"/>
        </w:rPr>
        <w:t xml:space="preserve">本项目实施的进度计划按照规定的控制工期进行总体安排，结合现场实际条件和项目实施特点，合理组织施工流程，力争提前完成。 </w:t>
      </w:r>
    </w:p>
    <w:p>
      <w:pPr>
        <w:ind w:firstLine="560"/>
        <w:rPr>
          <w:kern w:val="0"/>
          <w:szCs w:val="28"/>
        </w:rPr>
      </w:pPr>
      <w:r>
        <w:rPr>
          <w:kern w:val="0"/>
          <w:szCs w:val="28"/>
        </w:rPr>
        <w:t>本项目实施周期计划如下：</w:t>
      </w:r>
    </w:p>
    <w:p>
      <w:pPr>
        <w:numPr>
          <w:ilvl w:val="0"/>
          <w:numId w:val="5"/>
        </w:numPr>
        <w:ind w:firstLine="560"/>
        <w:rPr>
          <w:kern w:val="0"/>
          <w:szCs w:val="28"/>
        </w:rPr>
      </w:pPr>
      <w:r>
        <w:rPr>
          <w:kern w:val="0"/>
          <w:szCs w:val="28"/>
        </w:rPr>
        <w:t>前期准备阶段为</w:t>
      </w:r>
      <w:r>
        <w:rPr>
          <w:rFonts w:hint="eastAsia"/>
          <w:kern w:val="0"/>
          <w:szCs w:val="28"/>
        </w:rPr>
        <w:t>3</w:t>
      </w:r>
      <w:r>
        <w:rPr>
          <w:kern w:val="0"/>
          <w:szCs w:val="28"/>
        </w:rPr>
        <w:t>0个日历天，用于收集项目区及周边区域自然地理、地质、水文地质、工矿企业信息、污染源、环境监测数据等资料；开展资料分析，</w:t>
      </w:r>
      <w:r>
        <w:rPr>
          <w:rFonts w:hint="eastAsia"/>
          <w:kern w:val="0"/>
          <w:szCs w:val="28"/>
        </w:rPr>
        <w:t>充分</w:t>
      </w:r>
      <w:r>
        <w:rPr>
          <w:kern w:val="0"/>
          <w:szCs w:val="28"/>
        </w:rPr>
        <w:t>研究</w:t>
      </w:r>
      <w:r>
        <w:rPr>
          <w:rFonts w:hint="eastAsia"/>
          <w:kern w:val="0"/>
          <w:szCs w:val="28"/>
        </w:rPr>
        <w:t>一亩泉水源地，特别是重点调查区内</w:t>
      </w:r>
      <w:r>
        <w:rPr>
          <w:kern w:val="0"/>
          <w:szCs w:val="28"/>
        </w:rPr>
        <w:t>污染源类型及其分布情况、</w:t>
      </w:r>
      <w:r>
        <w:rPr>
          <w:rFonts w:hint="eastAsia"/>
          <w:kern w:val="0"/>
          <w:szCs w:val="28"/>
        </w:rPr>
        <w:t>污染风险因子及</w:t>
      </w:r>
      <w:r>
        <w:rPr>
          <w:kern w:val="0"/>
          <w:szCs w:val="28"/>
        </w:rPr>
        <w:t>污染机理、污染迁移转化路径，分析环境风险，</w:t>
      </w:r>
      <w:r>
        <w:rPr>
          <w:rFonts w:hint="eastAsia"/>
          <w:kern w:val="0"/>
          <w:szCs w:val="28"/>
        </w:rPr>
        <w:t>进一步确定项目工作重点</w:t>
      </w:r>
      <w:r>
        <w:rPr>
          <w:kern w:val="0"/>
          <w:szCs w:val="28"/>
        </w:rPr>
        <w:t>。同时组织环境监管部门和技术服务团队实地调研项目区环境问题，识别污染源及周边环境特征、水系分布、环境敏感对象</w:t>
      </w:r>
      <w:r>
        <w:rPr>
          <w:rFonts w:hint="eastAsia"/>
          <w:kern w:val="0"/>
          <w:szCs w:val="28"/>
        </w:rPr>
        <w:t>、地下水开采等</w:t>
      </w:r>
      <w:r>
        <w:rPr>
          <w:kern w:val="0"/>
          <w:szCs w:val="28"/>
        </w:rPr>
        <w:t>特征；开展项目区及周边人员访谈；综合监测数据及其它资料分析结果，开展现场验证；为后续深入分析提供信息补充。</w:t>
      </w:r>
    </w:p>
    <w:p>
      <w:pPr>
        <w:pStyle w:val="2"/>
        <w:spacing w:before="0" w:beforeAutospacing="0" w:after="0" w:afterAutospacing="0"/>
        <w:ind w:left="0" w:leftChars="0" w:firstLine="560"/>
      </w:pPr>
      <w:r>
        <w:rPr>
          <w:rFonts w:hint="eastAsia"/>
          <w:kern w:val="0"/>
          <w:szCs w:val="28"/>
        </w:rPr>
        <w:t>2.勘查</w:t>
      </w:r>
      <w:r>
        <w:rPr>
          <w:kern w:val="0"/>
          <w:szCs w:val="28"/>
        </w:rPr>
        <w:t>编制阶段为</w:t>
      </w:r>
      <w:r>
        <w:rPr>
          <w:rFonts w:hint="eastAsia"/>
          <w:kern w:val="0"/>
          <w:szCs w:val="28"/>
        </w:rPr>
        <w:t>60</w:t>
      </w:r>
      <w:r>
        <w:rPr>
          <w:kern w:val="0"/>
          <w:szCs w:val="28"/>
        </w:rPr>
        <w:t>个日历天，根据前期资料分析与现场踏勘信息，</w:t>
      </w:r>
      <w:r>
        <w:rPr>
          <w:rFonts w:hint="eastAsia"/>
          <w:kern w:val="0"/>
          <w:szCs w:val="28"/>
        </w:rPr>
        <w:t>进行勘查，开展项目野外调查，为后续详细技术方案编制提供依据。</w:t>
      </w:r>
    </w:p>
    <w:p>
      <w:pPr>
        <w:ind w:firstLine="560"/>
        <w:rPr>
          <w:kern w:val="0"/>
          <w:szCs w:val="28"/>
        </w:rPr>
      </w:pPr>
      <w:r>
        <w:rPr>
          <w:rFonts w:hint="eastAsia"/>
          <w:kern w:val="0"/>
          <w:szCs w:val="28"/>
        </w:rPr>
        <w:t>3.</w:t>
      </w:r>
      <w:r>
        <w:rPr>
          <w:kern w:val="0"/>
          <w:szCs w:val="28"/>
        </w:rPr>
        <w:t>技术方案编制阶段为</w:t>
      </w:r>
      <w:r>
        <w:rPr>
          <w:rFonts w:hint="eastAsia"/>
          <w:kern w:val="0"/>
          <w:szCs w:val="28"/>
        </w:rPr>
        <w:t>3</w:t>
      </w:r>
      <w:r>
        <w:rPr>
          <w:kern w:val="0"/>
          <w:szCs w:val="28"/>
        </w:rPr>
        <w:t>0个日历天，根据前期资料分析与现场踏勘信息，结合同期开展的现场地质勘察及测绘等工作成果，制定</w:t>
      </w:r>
      <w:r>
        <w:rPr>
          <w:rFonts w:hint="eastAsia"/>
          <w:kern w:val="0"/>
          <w:szCs w:val="28"/>
        </w:rPr>
        <w:t>野外施工路线和工作部署</w:t>
      </w:r>
      <w:r>
        <w:rPr>
          <w:kern w:val="0"/>
          <w:szCs w:val="28"/>
        </w:rPr>
        <w:t>，开展专家咨询与项目研讨，完成技术方案编制。</w:t>
      </w:r>
    </w:p>
    <w:p>
      <w:pPr>
        <w:ind w:firstLine="560"/>
        <w:rPr>
          <w:kern w:val="0"/>
          <w:szCs w:val="28"/>
        </w:rPr>
      </w:pPr>
      <w:r>
        <w:rPr>
          <w:rFonts w:hint="eastAsia"/>
          <w:kern w:val="0"/>
          <w:szCs w:val="28"/>
        </w:rPr>
        <w:t>4.项目</w:t>
      </w:r>
      <w:r>
        <w:rPr>
          <w:kern w:val="0"/>
          <w:szCs w:val="28"/>
        </w:rPr>
        <w:t>施工阶段为</w:t>
      </w:r>
      <w:r>
        <w:rPr>
          <w:rFonts w:hint="eastAsia"/>
          <w:kern w:val="0"/>
          <w:szCs w:val="28"/>
        </w:rPr>
        <w:t>580</w:t>
      </w:r>
      <w:r>
        <w:rPr>
          <w:kern w:val="0"/>
          <w:szCs w:val="28"/>
        </w:rPr>
        <w:t>个日历天</w:t>
      </w:r>
      <w:r>
        <w:rPr>
          <w:rFonts w:hint="eastAsia"/>
          <w:kern w:val="0"/>
          <w:szCs w:val="28"/>
        </w:rPr>
        <w:t>，包括所有涉及调查、勘查内容的施工、监测网优化建设、评估分析等。</w:t>
      </w:r>
    </w:p>
    <w:p>
      <w:pPr>
        <w:pStyle w:val="2"/>
        <w:spacing w:before="0" w:beforeAutospacing="0" w:after="0" w:afterAutospacing="0"/>
        <w:ind w:left="0" w:leftChars="0" w:firstLine="560"/>
        <w:rPr>
          <w:kern w:val="0"/>
          <w:szCs w:val="28"/>
        </w:rPr>
      </w:pPr>
      <w:r>
        <w:rPr>
          <w:rFonts w:hint="eastAsia"/>
          <w:kern w:val="0"/>
          <w:szCs w:val="28"/>
        </w:rPr>
        <w:t>5.项目验收汇交阶段</w:t>
      </w:r>
      <w:r>
        <w:rPr>
          <w:kern w:val="0"/>
          <w:szCs w:val="28"/>
        </w:rPr>
        <w:t>为</w:t>
      </w:r>
      <w:r>
        <w:rPr>
          <w:rFonts w:hint="eastAsia"/>
          <w:kern w:val="0"/>
          <w:szCs w:val="28"/>
        </w:rPr>
        <w:t>30</w:t>
      </w:r>
      <w:r>
        <w:rPr>
          <w:kern w:val="0"/>
          <w:szCs w:val="28"/>
        </w:rPr>
        <w:t>个日历天</w:t>
      </w:r>
      <w:r>
        <w:rPr>
          <w:rFonts w:hint="eastAsia"/>
          <w:kern w:val="0"/>
          <w:szCs w:val="28"/>
        </w:rPr>
        <w:t>，包括验收、评审、修改、汇交等工作内容。</w:t>
      </w:r>
    </w:p>
    <w:p>
      <w:pPr>
        <w:pStyle w:val="37"/>
        <w:ind w:firstLine="480"/>
      </w:pPr>
    </w:p>
    <w:p>
      <w:pPr>
        <w:pStyle w:val="37"/>
        <w:ind w:firstLine="480"/>
      </w:pPr>
    </w:p>
    <w:p>
      <w:pPr>
        <w:ind w:firstLine="643"/>
        <w:rPr>
          <w:rFonts w:cs="Times New Roman"/>
          <w:b/>
          <w:sz w:val="32"/>
          <w:szCs w:val="32"/>
        </w:rPr>
      </w:pPr>
      <w:r>
        <w:rPr>
          <w:rFonts w:cs="Times New Roman"/>
          <w:b/>
          <w:sz w:val="32"/>
          <w:szCs w:val="32"/>
        </w:rPr>
        <w:br w:type="page"/>
      </w:r>
    </w:p>
    <w:p>
      <w:pPr>
        <w:pStyle w:val="3"/>
      </w:pPr>
      <w:bookmarkStart w:id="81" w:name="_Toc118098364"/>
      <w:r>
        <w:rPr>
          <w:rFonts w:hint="eastAsia"/>
        </w:rPr>
        <w:t>第五章  绩效目标与可达性分析</w:t>
      </w:r>
      <w:bookmarkEnd w:id="81"/>
    </w:p>
    <w:p>
      <w:pPr>
        <w:pStyle w:val="5"/>
        <w:ind w:firstLine="602"/>
        <w:rPr>
          <w:b/>
          <w:bCs/>
        </w:rPr>
      </w:pPr>
      <w:bookmarkStart w:id="82" w:name="_Toc118098365"/>
      <w:r>
        <w:rPr>
          <w:rFonts w:hint="eastAsia"/>
          <w:b/>
          <w:bCs/>
        </w:rPr>
        <w:t>5.1 绩效目标</w:t>
      </w:r>
      <w:bookmarkEnd w:id="82"/>
    </w:p>
    <w:p>
      <w:pPr>
        <w:pStyle w:val="6"/>
        <w:spacing w:before="156" w:after="156"/>
        <w:ind w:firstLine="562"/>
      </w:pPr>
      <w:bookmarkStart w:id="83" w:name="_Toc9435186"/>
      <w:bookmarkStart w:id="84" w:name="_Toc9424147"/>
      <w:r>
        <w:rPr>
          <w:rFonts w:hint="eastAsia"/>
        </w:rPr>
        <w:t>5.1.1 生态效益目标</w:t>
      </w:r>
      <w:bookmarkEnd w:id="83"/>
      <w:bookmarkEnd w:id="84"/>
    </w:p>
    <w:p>
      <w:pPr>
        <w:ind w:firstLine="560"/>
      </w:pPr>
      <w:r>
        <w:rPr>
          <w:rFonts w:hint="eastAsia"/>
        </w:rPr>
        <w:t>通过项目实施，将促进一亩泉水源地区地下水环境状况持续改善，保障水源地供水安全。详细目标如下：</w:t>
      </w:r>
    </w:p>
    <w:p>
      <w:pPr>
        <w:ind w:firstLine="560"/>
      </w:pPr>
      <w:r>
        <w:rPr>
          <w:rFonts w:hint="eastAsia"/>
        </w:rPr>
        <w:t>（1）</w:t>
      </w:r>
      <w:r>
        <w:t>系统</w:t>
      </w:r>
      <w:r>
        <w:rPr>
          <w:rFonts w:hint="eastAsia"/>
        </w:rPr>
        <w:t>开展一亩泉水源地重点污染区地下水环境状况详细调查</w:t>
      </w:r>
      <w:r>
        <w:t>，</w:t>
      </w:r>
      <w:r>
        <w:rPr>
          <w:rFonts w:hint="eastAsia"/>
        </w:rPr>
        <w:t>识别对水源地存在污染或潜在污染的重要污染源。</w:t>
      </w:r>
    </w:p>
    <w:p>
      <w:pPr>
        <w:ind w:firstLine="560"/>
      </w:pPr>
      <w:r>
        <w:rPr>
          <w:rFonts w:hint="eastAsia"/>
        </w:rPr>
        <w:t>（2）</w:t>
      </w:r>
      <w:r>
        <w:t>建立</w:t>
      </w:r>
      <w:r>
        <w:rPr>
          <w:rFonts w:hint="eastAsia"/>
        </w:rPr>
        <w:t>一亩泉水源</w:t>
      </w:r>
      <w:r>
        <w:t>及地下水潜在污染源“双源”水质响应关系，提出地下水污染风险防控政策建议</w:t>
      </w:r>
      <w:r>
        <w:rPr>
          <w:rFonts w:hint="eastAsia"/>
        </w:rPr>
        <w:t>。</w:t>
      </w:r>
    </w:p>
    <w:p>
      <w:pPr>
        <w:ind w:firstLine="560"/>
      </w:pPr>
      <w:r>
        <w:rPr>
          <w:rFonts w:hint="eastAsia"/>
        </w:rPr>
        <w:t>（3）</w:t>
      </w:r>
      <w:r>
        <w:t>完善双源地下水监管工作，规范地下水监测井位、指标、监测频率及数据汇总等工作。</w:t>
      </w:r>
    </w:p>
    <w:p>
      <w:pPr>
        <w:ind w:firstLine="560"/>
      </w:pPr>
      <w:r>
        <w:rPr>
          <w:rFonts w:hint="eastAsia"/>
        </w:rPr>
        <w:t>（4）所有地下水监测井，均可用于地下水质量长期监测，以便管理部门能够很好的掌控一亩泉重点污染源周边水质变化情况，进而督促企业整改，避免污染进一步扩大，促进生态环境改善，保障备用水源的水质安全。</w:t>
      </w:r>
    </w:p>
    <w:p>
      <w:pPr>
        <w:pStyle w:val="6"/>
        <w:spacing w:before="156" w:after="156"/>
        <w:ind w:firstLine="562"/>
      </w:pPr>
      <w:r>
        <w:rPr>
          <w:rFonts w:hint="eastAsia"/>
        </w:rPr>
        <w:t>5.1.2投融资效益目标</w:t>
      </w:r>
    </w:p>
    <w:p>
      <w:pPr>
        <w:ind w:firstLine="560"/>
      </w:pPr>
      <w:r>
        <w:t>本方案总投资估算为</w:t>
      </w:r>
      <w:r>
        <w:rPr>
          <w:rFonts w:hint="eastAsia"/>
        </w:rPr>
        <w:t>1480</w:t>
      </w:r>
      <w:r>
        <w:t>元，方案采用多方手段筹集项目资金，主要的投方式包括</w:t>
      </w:r>
      <w:r>
        <w:rPr>
          <w:rFonts w:hint="eastAsia"/>
        </w:rPr>
        <w:t>中央财政以及</w:t>
      </w:r>
      <w:r>
        <w:t>地方资本投入等。</w:t>
      </w:r>
    </w:p>
    <w:p>
      <w:pPr>
        <w:ind w:firstLine="560"/>
      </w:pPr>
      <w:r>
        <w:rPr>
          <w:rFonts w:hint="eastAsia" w:cs="Times New Roman"/>
          <w:szCs w:val="28"/>
        </w:rPr>
        <w:t>拟申请中央水污染防治资金1302.4万元，占总投资估算的88%，地方配套资金177.6万元，占总投资估算的12%</w:t>
      </w:r>
      <w:r>
        <w:rPr>
          <w:rFonts w:cs="Times New Roman"/>
          <w:szCs w:val="28"/>
        </w:rPr>
        <w:t>。</w:t>
      </w:r>
    </w:p>
    <w:p>
      <w:pPr>
        <w:pStyle w:val="6"/>
        <w:spacing w:before="156" w:after="156"/>
        <w:ind w:firstLine="562"/>
      </w:pPr>
      <w:r>
        <w:rPr>
          <w:rFonts w:hint="eastAsia"/>
        </w:rPr>
        <w:t>5.1.3管理效力目标</w:t>
      </w:r>
    </w:p>
    <w:p>
      <w:pPr>
        <w:ind w:firstLine="560"/>
        <w:rPr>
          <w:rFonts w:eastAsia="华文仿宋"/>
        </w:rPr>
      </w:pPr>
      <w:r>
        <w:t>通过本项目的实施，整合环保、国土、水务等优势力量，建立</w:t>
      </w:r>
      <w:r>
        <w:rPr>
          <w:rFonts w:hint="eastAsia"/>
        </w:rPr>
        <w:t>一亩泉地下水</w:t>
      </w:r>
      <w:r>
        <w:t>饮用水源地和重点污染源“双源”地下水水质监测网，建立科学的监测指标体系</w:t>
      </w:r>
      <w:r>
        <w:rPr>
          <w:rFonts w:hint="eastAsia"/>
        </w:rPr>
        <w:t>和人员管理队伍</w:t>
      </w:r>
      <w:r>
        <w:t>，完善</w:t>
      </w:r>
      <w:r>
        <w:rPr>
          <w:rFonts w:hint="eastAsia"/>
        </w:rPr>
        <w:t>保定市</w:t>
      </w:r>
      <w:r>
        <w:t>地下水环境监测管理体系，</w:t>
      </w:r>
      <w:r>
        <w:rPr>
          <w:rFonts w:hint="eastAsia"/>
        </w:rPr>
        <w:t>打造地下水型集中饮用水源地污染</w:t>
      </w:r>
      <w:r>
        <w:t>防治</w:t>
      </w:r>
      <w:r>
        <w:rPr>
          <w:rFonts w:hint="eastAsia"/>
        </w:rPr>
        <w:t>范本。</w:t>
      </w:r>
    </w:p>
    <w:p>
      <w:pPr>
        <w:pStyle w:val="6"/>
        <w:spacing w:before="156" w:after="156"/>
        <w:ind w:firstLine="562"/>
      </w:pPr>
      <w:r>
        <w:rPr>
          <w:rFonts w:hint="eastAsia"/>
        </w:rPr>
        <w:t>5.1.4社会效应目标</w:t>
      </w:r>
    </w:p>
    <w:p>
      <w:pPr>
        <w:ind w:firstLine="560"/>
      </w:pPr>
      <w:r>
        <w:t>通过本次工作的开展，提升地下水环境保护工作从业人员的专业技术水平、地下水环境管理人员的监管能力，以及公众对地下水环境保护的意识。</w:t>
      </w:r>
      <w:r>
        <w:rPr>
          <w:rFonts w:hint="eastAsia"/>
        </w:rPr>
        <w:t>本次工作范围覆盖范围较广，保障全市人口的地下水饮用安全。通过调查，可以摸清地下水污染状况，有针对性地对地下水进行开采利用和保护，另外一定时间内带动当地部分居民解决就业问题，增加居民收入。</w:t>
      </w:r>
    </w:p>
    <w:p>
      <w:pPr>
        <w:pStyle w:val="5"/>
        <w:ind w:firstLine="602"/>
        <w:rPr>
          <w:b/>
          <w:bCs/>
        </w:rPr>
      </w:pPr>
      <w:bookmarkStart w:id="85" w:name="_Toc118098366"/>
      <w:r>
        <w:rPr>
          <w:rFonts w:hint="eastAsia"/>
          <w:b/>
          <w:bCs/>
        </w:rPr>
        <w:t>5.2 风险分析</w:t>
      </w:r>
      <w:bookmarkEnd w:id="85"/>
      <w:r>
        <w:rPr>
          <w:rFonts w:hint="eastAsia"/>
          <w:b/>
          <w:bCs/>
        </w:rPr>
        <w:t xml:space="preserve"> </w:t>
      </w:r>
    </w:p>
    <w:p>
      <w:pPr>
        <w:ind w:firstLine="562"/>
        <w:outlineLvl w:val="2"/>
        <w:rPr>
          <w:b/>
          <w:szCs w:val="28"/>
        </w:rPr>
      </w:pPr>
      <w:bookmarkStart w:id="86" w:name="_Toc2764"/>
      <w:r>
        <w:rPr>
          <w:rFonts w:hint="eastAsia"/>
          <w:b/>
          <w:szCs w:val="28"/>
        </w:rPr>
        <w:t>5.2</w:t>
      </w:r>
      <w:r>
        <w:rPr>
          <w:b/>
          <w:szCs w:val="28"/>
        </w:rPr>
        <w:t>.1 政策风险</w:t>
      </w:r>
      <w:bookmarkEnd w:id="86"/>
      <w:r>
        <w:rPr>
          <w:b/>
          <w:szCs w:val="28"/>
        </w:rPr>
        <w:t xml:space="preserve"> </w:t>
      </w:r>
    </w:p>
    <w:p>
      <w:pPr>
        <w:ind w:firstLine="560"/>
        <w:rPr>
          <w:kern w:val="0"/>
          <w:szCs w:val="28"/>
        </w:rPr>
      </w:pPr>
      <w:r>
        <w:rPr>
          <w:kern w:val="0"/>
          <w:szCs w:val="28"/>
        </w:rPr>
        <w:t>为加快推进地下水污染防治和保护，贯彻落实《水污染防治行动计划》（国发〔2015〕17号）、</w:t>
      </w:r>
      <w:r>
        <w:rPr>
          <w:rFonts w:hint="eastAsia"/>
          <w:kern w:val="0"/>
          <w:szCs w:val="28"/>
        </w:rPr>
        <w:t>《十四五”土壤、地下水和农村生态环境保护规划》（环土壤〔2021〕120号）、</w:t>
      </w:r>
      <w:r>
        <w:rPr>
          <w:kern w:val="0"/>
          <w:szCs w:val="28"/>
        </w:rPr>
        <w:t>《</w:t>
      </w:r>
      <w:r>
        <w:rPr>
          <w:rFonts w:hint="eastAsia"/>
          <w:kern w:val="0"/>
          <w:szCs w:val="28"/>
        </w:rPr>
        <w:t>河北省</w:t>
      </w:r>
      <w:r>
        <w:rPr>
          <w:kern w:val="0"/>
          <w:szCs w:val="28"/>
        </w:rPr>
        <w:t>地下水污染防治实施方案》（</w:t>
      </w:r>
      <w:r>
        <w:rPr>
          <w:rFonts w:hint="eastAsia"/>
          <w:kern w:val="0"/>
          <w:szCs w:val="28"/>
        </w:rPr>
        <w:t>冀</w:t>
      </w:r>
      <w:r>
        <w:rPr>
          <w:kern w:val="0"/>
          <w:szCs w:val="28"/>
        </w:rPr>
        <w:t>环土壤〔</w:t>
      </w:r>
      <w:r>
        <w:rPr>
          <w:rFonts w:hint="eastAsia"/>
          <w:kern w:val="0"/>
          <w:szCs w:val="28"/>
        </w:rPr>
        <w:t>2020</w:t>
      </w:r>
      <w:r>
        <w:rPr>
          <w:kern w:val="0"/>
          <w:szCs w:val="28"/>
        </w:rPr>
        <w:t>〕</w:t>
      </w:r>
      <w:r>
        <w:rPr>
          <w:rFonts w:hint="eastAsia"/>
          <w:kern w:val="0"/>
          <w:szCs w:val="28"/>
        </w:rPr>
        <w:t>284</w:t>
      </w:r>
      <w:r>
        <w:rPr>
          <w:kern w:val="0"/>
          <w:szCs w:val="28"/>
        </w:rPr>
        <w:t>号）、</w:t>
      </w:r>
      <w:r>
        <w:rPr>
          <w:rFonts w:hint="eastAsia"/>
          <w:kern w:val="0"/>
          <w:szCs w:val="28"/>
        </w:rPr>
        <w:t>《河北省生态环境保护“十四五”规划》（冀政字〔2022〕2号）、</w:t>
      </w:r>
      <w:r>
        <w:rPr>
          <w:rFonts w:cs="Times New Roman"/>
          <w:szCs w:val="28"/>
        </w:rPr>
        <w:t>《河北省土壤与地下水污染防治“十四五”规划》（冀土领办〔2022〕4号）</w:t>
      </w:r>
      <w:r>
        <w:rPr>
          <w:rFonts w:hint="eastAsia" w:cs="Times New Roman"/>
          <w:szCs w:val="28"/>
        </w:rPr>
        <w:t>、</w:t>
      </w:r>
      <w:r>
        <w:rPr>
          <w:rFonts w:hint="eastAsia"/>
          <w:kern w:val="0"/>
          <w:szCs w:val="28"/>
        </w:rPr>
        <w:t>《保定市生态环境保护“十四五”规划》（保环发〔2022〕5号）</w:t>
      </w:r>
      <w:r>
        <w:rPr>
          <w:kern w:val="0"/>
          <w:szCs w:val="28"/>
        </w:rPr>
        <w:t xml:space="preserve">的工作任务，本项目业主单位积极响应，符合国家政策。另外，本项目属于地下水污染防治项目，利国利民，从政策上分析，本项目的实施不存在风险。 </w:t>
      </w:r>
    </w:p>
    <w:p>
      <w:pPr>
        <w:ind w:firstLine="562"/>
        <w:outlineLvl w:val="2"/>
        <w:rPr>
          <w:b/>
          <w:szCs w:val="28"/>
        </w:rPr>
      </w:pPr>
      <w:bookmarkStart w:id="87" w:name="_Toc25236"/>
      <w:r>
        <w:rPr>
          <w:rFonts w:hint="eastAsia"/>
          <w:b/>
          <w:szCs w:val="28"/>
        </w:rPr>
        <w:t>5.2</w:t>
      </w:r>
      <w:r>
        <w:rPr>
          <w:b/>
          <w:szCs w:val="28"/>
        </w:rPr>
        <w:t>.2 资金风险</w:t>
      </w:r>
      <w:bookmarkEnd w:id="87"/>
      <w:r>
        <w:rPr>
          <w:b/>
          <w:szCs w:val="28"/>
        </w:rPr>
        <w:t xml:space="preserve"> </w:t>
      </w:r>
    </w:p>
    <w:p>
      <w:pPr>
        <w:ind w:firstLine="560"/>
        <w:rPr>
          <w:kern w:val="0"/>
          <w:szCs w:val="28"/>
        </w:rPr>
      </w:pPr>
      <w:r>
        <w:rPr>
          <w:kern w:val="0"/>
          <w:szCs w:val="28"/>
        </w:rPr>
        <w:t>本项目投资风险既可能产生于</w:t>
      </w:r>
      <w:r>
        <w:rPr>
          <w:rFonts w:hint="eastAsia"/>
          <w:kern w:val="0"/>
          <w:szCs w:val="28"/>
        </w:rPr>
        <w:t>项目</w:t>
      </w:r>
      <w:r>
        <w:rPr>
          <w:kern w:val="0"/>
          <w:szCs w:val="28"/>
        </w:rPr>
        <w:t>实施过程中，使得投资突破预算，也可能由于资金不足而导致项目不能正常运行，项目风险分析见表</w:t>
      </w:r>
      <w:r>
        <w:rPr>
          <w:rFonts w:hint="eastAsia"/>
          <w:kern w:val="0"/>
          <w:szCs w:val="28"/>
        </w:rPr>
        <w:t>5-1</w:t>
      </w:r>
      <w:r>
        <w:rPr>
          <w:kern w:val="0"/>
          <w:szCs w:val="28"/>
        </w:rPr>
        <w:t xml:space="preserve">。 </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表5-1 项目风险评估及防范分析</w:t>
      </w:r>
    </w:p>
    <w:tbl>
      <w:tblPr>
        <w:tblStyle w:val="30"/>
        <w:tblW w:w="8522" w:type="dxa"/>
        <w:jc w:val="center"/>
        <w:tblLayout w:type="fixed"/>
        <w:tblCellMar>
          <w:top w:w="0" w:type="dxa"/>
          <w:left w:w="108" w:type="dxa"/>
          <w:bottom w:w="0" w:type="dxa"/>
          <w:right w:w="108" w:type="dxa"/>
        </w:tblCellMar>
      </w:tblPr>
      <w:tblGrid>
        <w:gridCol w:w="475"/>
        <w:gridCol w:w="2650"/>
        <w:gridCol w:w="708"/>
        <w:gridCol w:w="708"/>
        <w:gridCol w:w="708"/>
        <w:gridCol w:w="709"/>
        <w:gridCol w:w="2564"/>
      </w:tblGrid>
      <w:tr>
        <w:tblPrEx>
          <w:tblCellMar>
            <w:top w:w="0" w:type="dxa"/>
            <w:left w:w="108" w:type="dxa"/>
            <w:bottom w:w="0" w:type="dxa"/>
            <w:right w:w="108" w:type="dxa"/>
          </w:tblCellMar>
        </w:tblPrEx>
        <w:trPr>
          <w:trHeight w:val="454" w:hRule="atLeast"/>
          <w:jc w:val="center"/>
        </w:trPr>
        <w:tc>
          <w:tcPr>
            <w:tcW w:w="3125" w:type="dxa"/>
            <w:gridSpan w:val="2"/>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top"/>
              <w:rPr>
                <w:b/>
                <w:bCs/>
                <w:sz w:val="24"/>
              </w:rPr>
            </w:pPr>
            <w:r>
              <w:rPr>
                <w:b/>
                <w:bCs/>
                <w:kern w:val="0"/>
                <w:sz w:val="24"/>
              </w:rPr>
              <w:t>风险因素名称</w:t>
            </w:r>
          </w:p>
        </w:tc>
        <w:tc>
          <w:tcPr>
            <w:tcW w:w="2833" w:type="dxa"/>
            <w:gridSpan w:val="4"/>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top"/>
              <w:rPr>
                <w:b/>
                <w:bCs/>
                <w:sz w:val="24"/>
              </w:rPr>
            </w:pPr>
            <w:r>
              <w:rPr>
                <w:b/>
                <w:bCs/>
                <w:kern w:val="0"/>
                <w:sz w:val="24"/>
              </w:rPr>
              <w:t>风险等级</w:t>
            </w:r>
          </w:p>
        </w:tc>
        <w:tc>
          <w:tcPr>
            <w:tcW w:w="2564"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b/>
                <w:bCs/>
                <w:sz w:val="24"/>
              </w:rPr>
            </w:pPr>
            <w:r>
              <w:rPr>
                <w:b/>
                <w:bCs/>
                <w:kern w:val="0"/>
                <w:sz w:val="24"/>
              </w:rPr>
              <w:t>防范措施</w:t>
            </w:r>
          </w:p>
        </w:tc>
      </w:tr>
      <w:tr>
        <w:tblPrEx>
          <w:tblCellMar>
            <w:top w:w="0" w:type="dxa"/>
            <w:left w:w="108" w:type="dxa"/>
            <w:bottom w:w="0" w:type="dxa"/>
            <w:right w:w="108" w:type="dxa"/>
          </w:tblCellMar>
        </w:tblPrEx>
        <w:trPr>
          <w:trHeight w:val="230" w:hRule="atLeast"/>
          <w:jc w:val="center"/>
        </w:trPr>
        <w:tc>
          <w:tcPr>
            <w:tcW w:w="3125"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bCs/>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top"/>
              <w:rPr>
                <w:b/>
                <w:bCs/>
                <w:sz w:val="24"/>
              </w:rPr>
            </w:pPr>
            <w:r>
              <w:rPr>
                <w:b/>
                <w:bCs/>
                <w:kern w:val="0"/>
                <w:sz w:val="24"/>
              </w:rPr>
              <w:t>灾难性</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top"/>
              <w:rPr>
                <w:b/>
                <w:bCs/>
                <w:sz w:val="24"/>
              </w:rPr>
            </w:pPr>
            <w:r>
              <w:rPr>
                <w:b/>
                <w:bCs/>
                <w:kern w:val="0"/>
                <w:sz w:val="24"/>
              </w:rPr>
              <w:t>严重</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top"/>
              <w:rPr>
                <w:b/>
                <w:bCs/>
                <w:kern w:val="0"/>
                <w:sz w:val="24"/>
              </w:rPr>
            </w:pPr>
            <w:r>
              <w:rPr>
                <w:b/>
                <w:bCs/>
                <w:kern w:val="0"/>
                <w:sz w:val="24"/>
              </w:rPr>
              <w:t>较</w:t>
            </w:r>
          </w:p>
          <w:p>
            <w:pPr>
              <w:spacing w:line="240" w:lineRule="auto"/>
              <w:ind w:firstLine="0" w:firstLineChars="0"/>
              <w:jc w:val="center"/>
              <w:textAlignment w:val="top"/>
              <w:rPr>
                <w:b/>
                <w:bCs/>
                <w:sz w:val="24"/>
              </w:rPr>
            </w:pPr>
            <w:r>
              <w:rPr>
                <w:b/>
                <w:bCs/>
                <w:kern w:val="0"/>
                <w:sz w:val="24"/>
              </w:rPr>
              <w:t>大</w:t>
            </w: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top"/>
              <w:rPr>
                <w:b/>
                <w:bCs/>
                <w:kern w:val="0"/>
                <w:sz w:val="24"/>
              </w:rPr>
            </w:pPr>
            <w:r>
              <w:rPr>
                <w:b/>
                <w:bCs/>
                <w:kern w:val="0"/>
                <w:sz w:val="24"/>
              </w:rPr>
              <w:t>一</w:t>
            </w:r>
          </w:p>
          <w:p>
            <w:pPr>
              <w:spacing w:line="240" w:lineRule="auto"/>
              <w:ind w:firstLine="0" w:firstLineChars="0"/>
              <w:jc w:val="center"/>
              <w:textAlignment w:val="top"/>
              <w:rPr>
                <w:b/>
                <w:bCs/>
                <w:sz w:val="24"/>
              </w:rPr>
            </w:pPr>
            <w:r>
              <w:rPr>
                <w:b/>
                <w:bCs/>
                <w:kern w:val="0"/>
                <w:sz w:val="24"/>
              </w:rPr>
              <w:t>般</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b/>
                <w:bCs/>
                <w:sz w:val="24"/>
              </w:rPr>
            </w:pPr>
          </w:p>
        </w:tc>
      </w:tr>
      <w:tr>
        <w:tblPrEx>
          <w:tblCellMar>
            <w:top w:w="0" w:type="dxa"/>
            <w:left w:w="108" w:type="dxa"/>
            <w:bottom w:w="0" w:type="dxa"/>
            <w:right w:w="108" w:type="dxa"/>
          </w:tblCellMar>
        </w:tblPrEx>
        <w:trPr>
          <w:trHeight w:val="454" w:hRule="atLeast"/>
          <w:jc w:val="center"/>
        </w:trPr>
        <w:tc>
          <w:tcPr>
            <w:tcW w:w="3125" w:type="dxa"/>
            <w:gridSpan w:val="2"/>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导致投资超预算的主要原因</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nil"/>
              <w:left w:val="nil"/>
              <w:bottom w:val="nil"/>
              <w:right w:val="nil"/>
            </w:tcBorders>
            <w:vAlign w:val="center"/>
          </w:tcPr>
          <w:p>
            <w:pPr>
              <w:spacing w:line="240" w:lineRule="auto"/>
              <w:ind w:firstLine="0" w:firstLineChars="0"/>
              <w:jc w:val="center"/>
              <w:rPr>
                <w:sz w:val="24"/>
              </w:rPr>
            </w:pPr>
          </w:p>
        </w:tc>
        <w:tc>
          <w:tcPr>
            <w:tcW w:w="2564" w:type="dxa"/>
            <w:vMerge w:val="restart"/>
            <w:tcBorders>
              <w:top w:val="single" w:color="000000" w:sz="4" w:space="0"/>
              <w:left w:val="single" w:color="000000" w:sz="4" w:space="0"/>
              <w:bottom w:val="single" w:color="000000" w:sz="4" w:space="0"/>
              <w:right w:val="single" w:color="000000" w:sz="4" w:space="0"/>
            </w:tcBorders>
            <w:vAlign w:val="center"/>
          </w:tcPr>
          <w:p>
            <w:pPr>
              <w:numPr>
                <w:ilvl w:val="0"/>
                <w:numId w:val="6"/>
              </w:numPr>
              <w:spacing w:line="240" w:lineRule="auto"/>
              <w:ind w:firstLine="0" w:firstLineChars="0"/>
              <w:jc w:val="left"/>
              <w:textAlignment w:val="center"/>
              <w:rPr>
                <w:kern w:val="0"/>
                <w:sz w:val="24"/>
              </w:rPr>
            </w:pPr>
            <w:r>
              <w:rPr>
                <w:kern w:val="0"/>
                <w:sz w:val="24"/>
              </w:rPr>
              <w:t>运用合同条件转移风险；</w:t>
            </w:r>
          </w:p>
          <w:p>
            <w:pPr>
              <w:numPr>
                <w:ilvl w:val="0"/>
                <w:numId w:val="6"/>
              </w:numPr>
              <w:spacing w:line="240" w:lineRule="auto"/>
              <w:ind w:firstLine="0" w:firstLineChars="0"/>
              <w:jc w:val="left"/>
              <w:textAlignment w:val="center"/>
              <w:rPr>
                <w:kern w:val="0"/>
                <w:sz w:val="24"/>
              </w:rPr>
            </w:pPr>
            <w:r>
              <w:rPr>
                <w:kern w:val="0"/>
                <w:sz w:val="24"/>
              </w:rPr>
              <w:t>优化竞标机制，通过竞争降低成本；</w:t>
            </w:r>
          </w:p>
          <w:p>
            <w:pPr>
              <w:numPr>
                <w:ilvl w:val="0"/>
                <w:numId w:val="6"/>
              </w:numPr>
              <w:spacing w:line="240" w:lineRule="auto"/>
              <w:ind w:firstLine="0" w:firstLineChars="0"/>
              <w:jc w:val="left"/>
              <w:textAlignment w:val="center"/>
              <w:rPr>
                <w:kern w:val="0"/>
                <w:sz w:val="24"/>
              </w:rPr>
            </w:pPr>
            <w:r>
              <w:rPr>
                <w:kern w:val="0"/>
                <w:sz w:val="24"/>
              </w:rPr>
              <w:t>精心设计投资计划，正确确定资金结构与投放次序，降低资金成本；</w:t>
            </w:r>
          </w:p>
          <w:p>
            <w:pPr>
              <w:numPr>
                <w:ilvl w:val="0"/>
                <w:numId w:val="6"/>
              </w:numPr>
              <w:spacing w:line="240" w:lineRule="auto"/>
              <w:ind w:firstLine="0" w:firstLineChars="0"/>
              <w:jc w:val="left"/>
              <w:textAlignment w:val="center"/>
              <w:rPr>
                <w:kern w:val="0"/>
                <w:sz w:val="24"/>
              </w:rPr>
            </w:pPr>
            <w:r>
              <w:rPr>
                <w:kern w:val="0"/>
                <w:sz w:val="24"/>
              </w:rPr>
              <w:t>加强项目管理和合同管理，防止人为因素造成投资增加；</w:t>
            </w:r>
          </w:p>
          <w:p>
            <w:pPr>
              <w:spacing w:line="240" w:lineRule="auto"/>
              <w:ind w:firstLine="0" w:firstLineChars="0"/>
              <w:jc w:val="left"/>
              <w:textAlignment w:val="center"/>
              <w:rPr>
                <w:sz w:val="24"/>
              </w:rPr>
            </w:pPr>
            <w:r>
              <w:rPr>
                <w:kern w:val="0"/>
                <w:sz w:val="24"/>
              </w:rPr>
              <w:t>（</w:t>
            </w:r>
            <w:r>
              <w:rPr>
                <w:rFonts w:hint="eastAsia"/>
                <w:kern w:val="0"/>
                <w:sz w:val="24"/>
              </w:rPr>
              <w:t>5</w:t>
            </w:r>
            <w:r>
              <w:rPr>
                <w:kern w:val="0"/>
                <w:sz w:val="24"/>
              </w:rPr>
              <w:t>）优化方案设计</w:t>
            </w:r>
            <w:r>
              <w:rPr>
                <w:rFonts w:hint="eastAsia"/>
                <w:kern w:val="0"/>
                <w:sz w:val="24"/>
              </w:rPr>
              <w:t>和质量控制</w:t>
            </w:r>
            <w:r>
              <w:rPr>
                <w:kern w:val="0"/>
                <w:sz w:val="24"/>
              </w:rPr>
              <w:t>，在安全可靠条件下选择经济适用型方案</w:t>
            </w:r>
            <w:r>
              <w:rPr>
                <w:rFonts w:hint="eastAsia"/>
                <w:kern w:val="0"/>
                <w:sz w:val="24"/>
              </w:rPr>
              <w:t>。</w:t>
            </w:r>
          </w:p>
        </w:tc>
      </w:tr>
      <w:tr>
        <w:tblPrEx>
          <w:tblCellMar>
            <w:top w:w="0" w:type="dxa"/>
            <w:left w:w="108" w:type="dxa"/>
            <w:bottom w:w="0" w:type="dxa"/>
            <w:right w:w="108" w:type="dxa"/>
          </w:tblCellMar>
        </w:tblPrEx>
        <w:trPr>
          <w:trHeight w:val="454"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项目外原因</w:t>
            </w: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rFonts w:hint="eastAsia"/>
                <w:kern w:val="0"/>
                <w:sz w:val="24"/>
              </w:rPr>
              <w:t>材料设备</w:t>
            </w:r>
            <w:r>
              <w:rPr>
                <w:kern w:val="0"/>
                <w:sz w:val="24"/>
              </w:rPr>
              <w:t>涨价</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4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工资标准提高</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4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运输费用增加</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4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自然灾害</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454" w:hRule="atLeast"/>
          <w:jc w:val="center"/>
        </w:trPr>
        <w:tc>
          <w:tcPr>
            <w:tcW w:w="475" w:type="dxa"/>
            <w:vMerge w:val="restart"/>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项目内原因</w:t>
            </w: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rFonts w:hint="eastAsia"/>
                <w:kern w:val="0"/>
                <w:sz w:val="24"/>
              </w:rPr>
              <w:t>实施</w:t>
            </w:r>
            <w:r>
              <w:rPr>
                <w:kern w:val="0"/>
                <w:sz w:val="24"/>
              </w:rPr>
              <w:t>计划不当</w:t>
            </w:r>
            <w:r>
              <w:rPr>
                <w:rFonts w:hint="eastAsia"/>
                <w:kern w:val="0"/>
                <w:sz w:val="24"/>
              </w:rPr>
              <w:t>引起的成本上升</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4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管理组织不当</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690"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rFonts w:hint="eastAsia"/>
                <w:kern w:val="0"/>
                <w:sz w:val="24"/>
              </w:rPr>
              <w:t>质量</w:t>
            </w:r>
            <w:r>
              <w:rPr>
                <w:kern w:val="0"/>
                <w:sz w:val="24"/>
              </w:rPr>
              <w:t>控制措施不力</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r>
        <w:tblPrEx>
          <w:tblCellMar>
            <w:top w:w="0" w:type="dxa"/>
            <w:left w:w="108" w:type="dxa"/>
            <w:bottom w:w="0" w:type="dxa"/>
            <w:right w:w="108" w:type="dxa"/>
          </w:tblCellMar>
        </w:tblPrEx>
        <w:trPr>
          <w:trHeight w:val="454" w:hRule="atLeast"/>
          <w:jc w:val="center"/>
        </w:trPr>
        <w:tc>
          <w:tcPr>
            <w:tcW w:w="475"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2650"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施工管理混乱</w:t>
            </w: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8"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c>
          <w:tcPr>
            <w:tcW w:w="709" w:type="dxa"/>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textAlignment w:val="center"/>
              <w:rPr>
                <w:sz w:val="24"/>
              </w:rPr>
            </w:pPr>
            <w:r>
              <w:rPr>
                <w:kern w:val="0"/>
                <w:sz w:val="24"/>
              </w:rPr>
              <w:t>√</w:t>
            </w:r>
          </w:p>
        </w:tc>
        <w:tc>
          <w:tcPr>
            <w:tcW w:w="2564" w:type="dxa"/>
            <w:vMerge w:val="continue"/>
            <w:tcBorders>
              <w:top w:val="single" w:color="000000" w:sz="4" w:space="0"/>
              <w:left w:val="single" w:color="000000" w:sz="4" w:space="0"/>
              <w:bottom w:val="single" w:color="000000" w:sz="4" w:space="0"/>
              <w:right w:val="single" w:color="000000" w:sz="4" w:space="0"/>
            </w:tcBorders>
            <w:vAlign w:val="center"/>
          </w:tcPr>
          <w:p>
            <w:pPr>
              <w:spacing w:line="240" w:lineRule="auto"/>
              <w:ind w:firstLine="0" w:firstLineChars="0"/>
              <w:jc w:val="center"/>
              <w:rPr>
                <w:sz w:val="24"/>
              </w:rPr>
            </w:pPr>
          </w:p>
        </w:tc>
      </w:tr>
    </w:tbl>
    <w:p>
      <w:pPr>
        <w:ind w:firstLine="562"/>
        <w:outlineLvl w:val="2"/>
        <w:rPr>
          <w:b/>
          <w:szCs w:val="28"/>
        </w:rPr>
      </w:pPr>
      <w:bookmarkStart w:id="88" w:name="_Toc27987"/>
      <w:r>
        <w:rPr>
          <w:rFonts w:hint="eastAsia"/>
          <w:b/>
          <w:szCs w:val="28"/>
        </w:rPr>
        <w:t>5.2</w:t>
      </w:r>
      <w:r>
        <w:rPr>
          <w:b/>
          <w:szCs w:val="28"/>
        </w:rPr>
        <w:t>.3 技术风险</w:t>
      </w:r>
      <w:bookmarkEnd w:id="88"/>
      <w:r>
        <w:rPr>
          <w:b/>
          <w:szCs w:val="28"/>
        </w:rPr>
        <w:t xml:space="preserve"> </w:t>
      </w:r>
    </w:p>
    <w:p>
      <w:pPr>
        <w:ind w:firstLine="560"/>
      </w:pPr>
      <w:r>
        <w:rPr>
          <w:kern w:val="0"/>
          <w:szCs w:val="28"/>
        </w:rPr>
        <w:t>项目所需</w:t>
      </w:r>
      <w:r>
        <w:rPr>
          <w:rFonts w:hint="eastAsia"/>
          <w:kern w:val="0"/>
          <w:szCs w:val="28"/>
        </w:rPr>
        <w:t>地下水环境调查、水文地质钻探、</w:t>
      </w:r>
      <w:r>
        <w:rPr>
          <w:kern w:val="0"/>
          <w:szCs w:val="28"/>
        </w:rPr>
        <w:t xml:space="preserve">工程勘察和采样调查技术均选用成熟技术，且在国内有相似案例，能够满足本项目的实施要求。由于技术控制要求，需要综合考虑环境调查和勘察工作内容作为实施基础，总体来说，该调查与勘察技术较为成熟实用。因此，本项目技术风险较低。 </w:t>
      </w:r>
    </w:p>
    <w:p>
      <w:pPr>
        <w:pStyle w:val="5"/>
        <w:ind w:firstLine="602"/>
        <w:rPr>
          <w:b/>
          <w:bCs/>
        </w:rPr>
      </w:pPr>
      <w:bookmarkStart w:id="89" w:name="_Toc118098367"/>
      <w:r>
        <w:rPr>
          <w:rFonts w:hint="eastAsia"/>
          <w:b/>
          <w:bCs/>
        </w:rPr>
        <w:t>5.3 绩效目标可达性分析</w:t>
      </w:r>
      <w:bookmarkEnd w:id="89"/>
    </w:p>
    <w:p>
      <w:pPr>
        <w:ind w:firstLine="562"/>
        <w:jc w:val="left"/>
        <w:outlineLvl w:val="2"/>
        <w:rPr>
          <w:b/>
          <w:szCs w:val="28"/>
        </w:rPr>
      </w:pPr>
      <w:r>
        <w:rPr>
          <w:rFonts w:hint="eastAsia"/>
          <w:b/>
          <w:szCs w:val="28"/>
        </w:rPr>
        <w:t>5</w:t>
      </w:r>
      <w:r>
        <w:rPr>
          <w:b/>
          <w:szCs w:val="28"/>
        </w:rPr>
        <w:t>.3.1 组织</w:t>
      </w:r>
      <w:r>
        <w:rPr>
          <w:rFonts w:hint="eastAsia"/>
          <w:b/>
          <w:szCs w:val="28"/>
        </w:rPr>
        <w:t>协调</w:t>
      </w:r>
    </w:p>
    <w:p>
      <w:pPr>
        <w:ind w:firstLine="560"/>
        <w:rPr>
          <w:kern w:val="0"/>
          <w:szCs w:val="28"/>
        </w:rPr>
      </w:pPr>
      <w:r>
        <w:rPr>
          <w:rFonts w:hint="eastAsia"/>
          <w:kern w:val="0"/>
          <w:szCs w:val="28"/>
        </w:rPr>
        <w:t>保定市生态环境局是本项目的组织实施单位，</w:t>
      </w:r>
      <w:r>
        <w:rPr>
          <w:kern w:val="0"/>
          <w:szCs w:val="28"/>
        </w:rPr>
        <w:t>全面负责</w:t>
      </w:r>
      <w:r>
        <w:rPr>
          <w:rFonts w:hint="eastAsia"/>
          <w:kern w:val="0"/>
          <w:szCs w:val="28"/>
        </w:rPr>
        <w:t>项目</w:t>
      </w:r>
      <w:r>
        <w:rPr>
          <w:kern w:val="0"/>
          <w:szCs w:val="28"/>
        </w:rPr>
        <w:t>指导、监督、管理</w:t>
      </w:r>
      <w:r>
        <w:rPr>
          <w:rFonts w:hint="eastAsia"/>
          <w:kern w:val="0"/>
          <w:szCs w:val="28"/>
        </w:rPr>
        <w:t>工作。保定市生态环境局组织实施本项目的最大优势在于，可最大限度获得保定市政府及相关机构、企事业单位、当地群众的支持与协助，保障项目顺利开展，成功达到预期目的。</w:t>
      </w:r>
    </w:p>
    <w:p>
      <w:pPr>
        <w:ind w:firstLine="562"/>
        <w:jc w:val="left"/>
        <w:outlineLvl w:val="2"/>
        <w:rPr>
          <w:b/>
          <w:szCs w:val="28"/>
        </w:rPr>
      </w:pPr>
      <w:r>
        <w:rPr>
          <w:b/>
          <w:szCs w:val="28"/>
        </w:rPr>
        <w:t>5.3.2</w:t>
      </w:r>
      <w:r>
        <w:rPr>
          <w:rFonts w:hint="eastAsia"/>
          <w:b/>
          <w:szCs w:val="28"/>
        </w:rPr>
        <w:t>技术团队配备</w:t>
      </w:r>
    </w:p>
    <w:p>
      <w:pPr>
        <w:ind w:firstLine="560"/>
        <w:rPr>
          <w:kern w:val="0"/>
          <w:szCs w:val="28"/>
        </w:rPr>
      </w:pPr>
      <w:r>
        <w:rPr>
          <w:rFonts w:hint="eastAsia"/>
          <w:kern w:val="0"/>
          <w:szCs w:val="28"/>
        </w:rPr>
        <w:t>根据前期调研工作，意向技术团队为对本区工作较为熟悉的专业地质调查机构、科研院所和有资质企业。根据前期调研工作，拟选的部分技术团队包括中国地质调查局水文地质环境地质调查中心、中冀石化工程设计有限公司、吉林大学等，各技术团队情况如下：</w:t>
      </w:r>
    </w:p>
    <w:p>
      <w:pPr>
        <w:ind w:firstLine="560"/>
        <w:rPr>
          <w:kern w:val="0"/>
          <w:szCs w:val="28"/>
        </w:rPr>
      </w:pPr>
      <w:r>
        <w:rPr>
          <w:rFonts w:hint="eastAsia"/>
          <w:kern w:val="0"/>
          <w:szCs w:val="28"/>
        </w:rPr>
        <w:t>拟参与项目实施的中国地质调查局水文地质环境地质调查中心（以下简称水环中心），作为自然资源部直属事业单位，常驻保定市，长期从事水文地质、环境地质、生态地质等公益性调查工作，技术方法全面，具备水文地质调查、物探勘查、遥感解译、钻探技术指导、地下水监测设备研发及长期监测点建设等综合技术优势，曾开展多类型地下水污染场地调查工作，</w:t>
      </w:r>
      <w:r>
        <w:rPr>
          <w:rFonts w:hint="eastAsia"/>
        </w:rPr>
        <w:t>建立了地质行业场地水土污染调查技术体系。</w:t>
      </w:r>
      <w:r>
        <w:rPr>
          <w:rFonts w:hint="eastAsia"/>
          <w:kern w:val="0"/>
          <w:szCs w:val="28"/>
        </w:rPr>
        <w:t>人员专业素养好，技术能力强，可以高标准完成项目水文地质调查、</w:t>
      </w:r>
      <w:r>
        <w:rPr>
          <w:rFonts w:hint="eastAsia"/>
        </w:rPr>
        <w:t>物探</w:t>
      </w:r>
      <w:r>
        <w:rPr>
          <w:rFonts w:hint="eastAsia"/>
          <w:kern w:val="0"/>
          <w:szCs w:val="28"/>
        </w:rPr>
        <w:t>勘查、遥感解译、钻探技术指导等工作内容。</w:t>
      </w:r>
    </w:p>
    <w:p>
      <w:pPr>
        <w:ind w:firstLine="560"/>
        <w:rPr>
          <w:kern w:val="0"/>
          <w:szCs w:val="28"/>
        </w:rPr>
      </w:pPr>
      <w:r>
        <w:rPr>
          <w:rFonts w:hint="eastAsia"/>
          <w:kern w:val="0"/>
          <w:szCs w:val="28"/>
        </w:rPr>
        <w:t>拟参与项目实施的中冀石化工程设计有限公司常驻保定市，长期从事水文地质勘察、水污染治理、土壤污染治理与修复服务、工程钻探施工业务，拥有甲级测绘资质和勘察综合类甲级勘察资质，可强力保障项目工程施工和勘察工作。</w:t>
      </w:r>
    </w:p>
    <w:p>
      <w:pPr>
        <w:ind w:firstLine="560"/>
        <w:rPr>
          <w:kern w:val="0"/>
          <w:szCs w:val="28"/>
        </w:rPr>
      </w:pPr>
      <w:r>
        <w:rPr>
          <w:rFonts w:hint="eastAsia"/>
          <w:kern w:val="0"/>
          <w:szCs w:val="28"/>
        </w:rPr>
        <w:t>拟参与项目实施的吉林大学新能源与环境学院，长期从事水文地质、地下水污染防治、同位素水文地质学等方面的研究与教学工作，拥有地下水资源与环境教育部重点实验室，其院士团队长期开展污染场地控制与修复技术研究，在国内地下水土环境污染的控制与修复、同位素等领域的研究处于前沿位置，可对工作区地下水污染来源、迁移转化和积累过程等方面工作提供强力保障。</w:t>
      </w:r>
    </w:p>
    <w:p>
      <w:pPr>
        <w:ind w:firstLine="562"/>
        <w:jc w:val="left"/>
        <w:outlineLvl w:val="2"/>
        <w:rPr>
          <w:b/>
          <w:szCs w:val="28"/>
        </w:rPr>
      </w:pPr>
      <w:r>
        <w:rPr>
          <w:rFonts w:hint="eastAsia"/>
          <w:b/>
          <w:szCs w:val="28"/>
        </w:rPr>
        <w:t>5.3.3技术资料储备</w:t>
      </w:r>
    </w:p>
    <w:p>
      <w:pPr>
        <w:ind w:firstLine="560"/>
      </w:pPr>
      <w:r>
        <w:rPr>
          <w:rFonts w:hint="eastAsia"/>
        </w:rPr>
        <w:t>项目参与单位之一的中国地质调查局水文地质环境地质调查中心，在拥有上述</w:t>
      </w:r>
      <w:r>
        <w:rPr>
          <w:rFonts w:hint="eastAsia"/>
          <w:kern w:val="0"/>
          <w:szCs w:val="28"/>
        </w:rPr>
        <w:t>综合</w:t>
      </w:r>
      <w:r>
        <w:rPr>
          <w:rFonts w:hint="eastAsia"/>
        </w:rPr>
        <w:t>技术优势的同时，还拥有工作区及周边地区的数量丰富的各类地质技术资料，同时项目参与人员对工作区地形、地质及水文</w:t>
      </w:r>
      <w:r>
        <w:rPr>
          <w:rFonts w:hint="eastAsia"/>
          <w:kern w:val="0"/>
          <w:szCs w:val="28"/>
        </w:rPr>
        <w:t>地质</w:t>
      </w:r>
      <w:r>
        <w:rPr>
          <w:rFonts w:hint="eastAsia"/>
        </w:rPr>
        <w:t>调件较为熟悉。上述优势对项目实施团队在快速了解工作区前期工作程度，熟悉工作区概况，提供了极为便利的调件，也为项目有针对性的实施提供了支撑。</w:t>
      </w:r>
    </w:p>
    <w:p>
      <w:pPr>
        <w:ind w:firstLine="560"/>
      </w:pPr>
      <w:r>
        <w:rPr>
          <w:rFonts w:hint="eastAsia"/>
        </w:rPr>
        <w:t>中国地质调查局水文地质环境地质调查中心近年来在我国不同地区针对9类（石油化工类、加油站类、原油类、油库类、污灌类、有机农药类、大型钢铁类、六价铬类、煤炭化工类）12个污染场地开展了土壤和地下水调查评价工作，编写了中国地质调查局《污染场地土壤和地下水调查与风险评价规范》, 建立了地质行业场地水土污染调查技术体系，在河南新乡建立了我国第一座修复六价铬污染地下水的连续式渗透反应墙（PRB）示范工程。在场地地下水污染调查方面积累了丰富的经验。</w:t>
      </w:r>
    </w:p>
    <w:p>
      <w:pPr>
        <w:ind w:firstLine="560"/>
      </w:pPr>
      <w:r>
        <w:rPr>
          <w:rFonts w:hint="eastAsia"/>
        </w:rPr>
        <w:t>此外，水环中心正在开展的保定市一亩泉复涌与生态修复项目，意在查清工作区水文地质条件，掌握地下水补给、径流及排泄特征，为一亩泉复涌工程实施提供技术支持。该项目先期工作将覆盖一亩泉上游流域，其在一亩泉水源地保护区开展的水文地质调查补充调查、水位统测等工作，可为本项目实施提供最新数据资料支持。</w:t>
      </w:r>
    </w:p>
    <w:p>
      <w:pPr>
        <w:ind w:firstLine="562"/>
        <w:jc w:val="left"/>
        <w:outlineLvl w:val="2"/>
        <w:rPr>
          <w:b/>
          <w:szCs w:val="28"/>
        </w:rPr>
      </w:pPr>
      <w:r>
        <w:rPr>
          <w:rFonts w:hint="eastAsia"/>
          <w:b/>
          <w:szCs w:val="28"/>
        </w:rPr>
        <w:t>5</w:t>
      </w:r>
      <w:r>
        <w:rPr>
          <w:b/>
          <w:szCs w:val="28"/>
        </w:rPr>
        <w:t>.3.</w:t>
      </w:r>
      <w:r>
        <w:rPr>
          <w:rFonts w:hint="eastAsia"/>
          <w:b/>
          <w:szCs w:val="28"/>
        </w:rPr>
        <w:t>3</w:t>
      </w:r>
      <w:r>
        <w:rPr>
          <w:b/>
          <w:szCs w:val="28"/>
        </w:rPr>
        <w:t xml:space="preserve"> 资金保障</w:t>
      </w:r>
    </w:p>
    <w:p>
      <w:pPr>
        <w:ind w:firstLine="560"/>
      </w:pPr>
      <w:r>
        <w:rPr>
          <w:rFonts w:hint="eastAsia"/>
          <w:kern w:val="0"/>
          <w:szCs w:val="28"/>
        </w:rPr>
        <w:t>保定市</w:t>
      </w:r>
      <w:r>
        <w:rPr>
          <w:kern w:val="0"/>
          <w:szCs w:val="28"/>
        </w:rPr>
        <w:t>财政局做好项目资金的拨付、管理和多渠道资金的投入。</w:t>
      </w:r>
    </w:p>
    <w:p>
      <w:pPr>
        <w:adjustRightInd w:val="0"/>
        <w:snapToGrid w:val="0"/>
        <w:ind w:firstLine="560"/>
        <w:rPr>
          <w:rFonts w:cs="Times New Roman"/>
          <w:szCs w:val="24"/>
        </w:rPr>
        <w:sectPr>
          <w:headerReference r:id="rId19" w:type="default"/>
          <w:footerReference r:id="rId20" w:type="default"/>
          <w:pgSz w:w="11907" w:h="16839"/>
          <w:pgMar w:top="1440" w:right="1800" w:bottom="1440" w:left="1800" w:header="851" w:footer="992" w:gutter="0"/>
          <w:cols w:space="425" w:num="1"/>
          <w:docGrid w:type="lines" w:linePitch="312" w:charSpace="0"/>
        </w:sectPr>
      </w:pPr>
    </w:p>
    <w:p>
      <w:pPr>
        <w:pStyle w:val="3"/>
      </w:pPr>
      <w:bookmarkStart w:id="90" w:name="_Toc5378"/>
      <w:bookmarkStart w:id="91" w:name="_Toc118098368"/>
      <w:r>
        <w:t>第</w:t>
      </w:r>
      <w:r>
        <w:rPr>
          <w:rFonts w:hint="eastAsia"/>
        </w:rPr>
        <w:t>六</w:t>
      </w:r>
      <w:r>
        <w:t>章  投资估算</w:t>
      </w:r>
      <w:bookmarkEnd w:id="90"/>
      <w:bookmarkEnd w:id="91"/>
    </w:p>
    <w:p>
      <w:pPr>
        <w:pStyle w:val="5"/>
        <w:ind w:firstLine="602"/>
        <w:rPr>
          <w:b/>
          <w:bCs/>
        </w:rPr>
      </w:pPr>
      <w:bookmarkStart w:id="92" w:name="_Toc118098369"/>
      <w:bookmarkStart w:id="93" w:name="_Toc2615"/>
      <w:r>
        <w:rPr>
          <w:rFonts w:hint="eastAsia"/>
          <w:b/>
          <w:bCs/>
        </w:rPr>
        <w:t>6.1投资估算依据</w:t>
      </w:r>
      <w:bookmarkEnd w:id="92"/>
    </w:p>
    <w:p>
      <w:pPr>
        <w:ind w:firstLine="560"/>
      </w:pPr>
      <w:r>
        <w:rPr>
          <w:rFonts w:hint="eastAsia"/>
        </w:rPr>
        <w:t>（1）《河北省地质调查预算标准》（2010修订本）</w:t>
      </w:r>
      <w:r>
        <w:t>。</w:t>
      </w:r>
    </w:p>
    <w:p>
      <w:pPr>
        <w:ind w:firstLine="560"/>
      </w:pPr>
      <w:r>
        <w:rPr>
          <w:rFonts w:hint="eastAsia"/>
        </w:rPr>
        <w:t>（2）</w:t>
      </w:r>
      <w:r>
        <w:t>《国家计委、建设部关于发布〈工程勘察设计收费管理规定〉的通知》计价格[2002]10号。</w:t>
      </w:r>
    </w:p>
    <w:p>
      <w:pPr>
        <w:ind w:firstLine="560"/>
      </w:pPr>
      <w:r>
        <w:rPr>
          <w:rFonts w:hint="eastAsia"/>
        </w:rPr>
        <w:t>（3）</w:t>
      </w:r>
      <w:r>
        <w:t>《工程勘察设计收费标准》（2002年修订本）</w:t>
      </w:r>
      <w:r>
        <w:rPr>
          <w:rFonts w:hint="eastAsia"/>
        </w:rPr>
        <w:t>，</w:t>
      </w:r>
      <w:r>
        <w:t>国家发展计划委员会、建设部颁发。</w:t>
      </w:r>
    </w:p>
    <w:p>
      <w:pPr>
        <w:ind w:firstLine="560"/>
      </w:pPr>
      <w:r>
        <w:rPr>
          <w:rFonts w:hint="eastAsia"/>
        </w:rPr>
        <w:t>（4）《工程勘察服务成本要素信息（2022版）》（中设协字[2022]52号）</w:t>
      </w:r>
    </w:p>
    <w:p>
      <w:pPr>
        <w:ind w:firstLine="560"/>
      </w:pPr>
      <w:r>
        <w:rPr>
          <w:rFonts w:hint="eastAsia"/>
        </w:rPr>
        <w:t>（5）</w:t>
      </w:r>
      <w:r>
        <w:t>国家及中国地质调查局有关规定及行业标准。</w:t>
      </w:r>
    </w:p>
    <w:p>
      <w:pPr>
        <w:pStyle w:val="5"/>
        <w:ind w:firstLine="602"/>
        <w:rPr>
          <w:b/>
          <w:bCs/>
        </w:rPr>
      </w:pPr>
      <w:bookmarkStart w:id="94" w:name="_Toc118098370"/>
      <w:r>
        <w:rPr>
          <w:rFonts w:hint="eastAsia"/>
          <w:b/>
          <w:bCs/>
        </w:rPr>
        <w:t>6.2投资估算</w:t>
      </w:r>
      <w:bookmarkEnd w:id="93"/>
      <w:r>
        <w:rPr>
          <w:rFonts w:hint="eastAsia"/>
          <w:b/>
          <w:bCs/>
        </w:rPr>
        <w:t>及说明</w:t>
      </w:r>
      <w:bookmarkEnd w:id="94"/>
    </w:p>
    <w:p>
      <w:pPr>
        <w:ind w:firstLine="560"/>
      </w:pPr>
      <w:r>
        <w:t>本项目的费用按照工作手段主要有以下十个方面：地面调查、物探、水文地质钻探、样品采集及测试、现场测试、长期观测与</w:t>
      </w:r>
      <w:r>
        <w:rPr>
          <w:rFonts w:hint="eastAsia"/>
        </w:rPr>
        <w:t>监测</w:t>
      </w:r>
      <w:r>
        <w:t>、数值模拟、</w:t>
      </w:r>
      <w:r>
        <w:rPr>
          <w:rFonts w:hint="eastAsia"/>
        </w:rPr>
        <w:t>数据库建设、</w:t>
      </w:r>
      <w:r>
        <w:t>其它地质工作。经初步测算，项目总投资约</w:t>
      </w:r>
      <w:r>
        <w:rPr>
          <w:rFonts w:hint="eastAsia"/>
        </w:rPr>
        <w:t>1480</w:t>
      </w:r>
      <w:r>
        <w:t>万元。</w:t>
      </w:r>
    </w:p>
    <w:p>
      <w:pPr>
        <w:ind w:firstLine="560"/>
        <w:sectPr>
          <w:pgSz w:w="11907" w:h="16839"/>
          <w:pgMar w:top="1440" w:right="1797" w:bottom="1440" w:left="1797" w:header="851" w:footer="992" w:gutter="0"/>
          <w:cols w:space="425" w:num="1"/>
          <w:docGrid w:type="lines" w:linePitch="312" w:charSpace="0"/>
        </w:sectPr>
      </w:pPr>
      <w:r>
        <w:rPr>
          <w:rFonts w:hint="eastAsia"/>
        </w:rPr>
        <w:t>概算标准和说明详见下表</w:t>
      </w:r>
    </w:p>
    <w:p>
      <w:pPr>
        <w:ind w:firstLine="0" w:firstLineChars="0"/>
        <w:jc w:val="center"/>
        <w:rPr>
          <w:rFonts w:ascii="黑体" w:hAnsi="黑体" w:eastAsia="黑体" w:cs="黑体"/>
          <w:sz w:val="21"/>
          <w:szCs w:val="21"/>
        </w:rPr>
      </w:pPr>
      <w:r>
        <w:rPr>
          <w:rFonts w:hint="eastAsia" w:ascii="黑体" w:hAnsi="黑体" w:eastAsia="黑体" w:cs="黑体"/>
          <w:sz w:val="21"/>
          <w:szCs w:val="21"/>
        </w:rPr>
        <w:t>表6-1  按工作手段估算表</w:t>
      </w:r>
    </w:p>
    <w:tbl>
      <w:tblPr>
        <w:tblStyle w:val="30"/>
        <w:tblW w:w="13498" w:type="dxa"/>
        <w:jc w:val="center"/>
        <w:tblLayout w:type="fixed"/>
        <w:tblCellMar>
          <w:top w:w="0" w:type="dxa"/>
          <w:left w:w="108" w:type="dxa"/>
          <w:bottom w:w="0" w:type="dxa"/>
          <w:right w:w="108" w:type="dxa"/>
        </w:tblCellMar>
      </w:tblPr>
      <w:tblGrid>
        <w:gridCol w:w="642"/>
        <w:gridCol w:w="925"/>
        <w:gridCol w:w="1389"/>
        <w:gridCol w:w="775"/>
        <w:gridCol w:w="925"/>
        <w:gridCol w:w="1000"/>
        <w:gridCol w:w="914"/>
        <w:gridCol w:w="6928"/>
      </w:tblGrid>
      <w:tr>
        <w:tblPrEx>
          <w:tblCellMar>
            <w:top w:w="0" w:type="dxa"/>
            <w:left w:w="108" w:type="dxa"/>
            <w:bottom w:w="0" w:type="dxa"/>
            <w:right w:w="108" w:type="dxa"/>
          </w:tblCellMar>
        </w:tblPrEx>
        <w:trPr>
          <w:trHeight w:val="301" w:hRule="atLeast"/>
          <w:jc w:val="center"/>
        </w:trPr>
        <w:tc>
          <w:tcPr>
            <w:tcW w:w="642"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序号</w:t>
            </w:r>
          </w:p>
        </w:tc>
        <w:tc>
          <w:tcPr>
            <w:tcW w:w="925"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工作手段</w:t>
            </w:r>
          </w:p>
        </w:tc>
        <w:tc>
          <w:tcPr>
            <w:tcW w:w="1389"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技术条件</w:t>
            </w:r>
          </w:p>
        </w:tc>
        <w:tc>
          <w:tcPr>
            <w:tcW w:w="3614" w:type="dxa"/>
            <w:gridSpan w:val="4"/>
            <w:tcBorders>
              <w:top w:val="single" w:color="000000" w:sz="4" w:space="0"/>
              <w:left w:val="single" w:color="000000"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概算数</w:t>
            </w:r>
          </w:p>
        </w:tc>
        <w:tc>
          <w:tcPr>
            <w:tcW w:w="6928"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编制依据及说明</w:t>
            </w:r>
          </w:p>
        </w:tc>
      </w:tr>
      <w:tr>
        <w:tblPrEx>
          <w:tblCellMar>
            <w:top w:w="0" w:type="dxa"/>
            <w:left w:w="108" w:type="dxa"/>
            <w:bottom w:w="0" w:type="dxa"/>
            <w:right w:w="108" w:type="dxa"/>
          </w:tblCellMar>
        </w:tblPrEx>
        <w:trPr>
          <w:trHeight w:val="312" w:hRule="atLeast"/>
          <w:jc w:val="center"/>
        </w:trPr>
        <w:tc>
          <w:tcPr>
            <w:tcW w:w="642"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c>
          <w:tcPr>
            <w:tcW w:w="925"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c>
          <w:tcPr>
            <w:tcW w:w="1389" w:type="dxa"/>
            <w:vMerge w:val="continue"/>
            <w:tcBorders>
              <w:left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c>
          <w:tcPr>
            <w:tcW w:w="7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计量单位</w:t>
            </w:r>
          </w:p>
        </w:tc>
        <w:tc>
          <w:tcPr>
            <w:tcW w:w="925" w:type="dxa"/>
            <w:vMerge w:val="restart"/>
            <w:tcBorders>
              <w:top w:val="single" w:color="000000" w:sz="4" w:space="0"/>
              <w:left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工作量</w:t>
            </w:r>
          </w:p>
        </w:tc>
        <w:tc>
          <w:tcPr>
            <w:tcW w:w="1000"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预算标准（元）</w:t>
            </w:r>
          </w:p>
        </w:tc>
        <w:tc>
          <w:tcPr>
            <w:tcW w:w="914" w:type="dxa"/>
            <w:vMerge w:val="restart"/>
            <w:tcBorders>
              <w:top w:val="single" w:color="000000" w:sz="4" w:space="0"/>
              <w:left w:val="single" w:color="000000"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金额（万元）</w:t>
            </w:r>
          </w:p>
        </w:tc>
        <w:tc>
          <w:tcPr>
            <w:tcW w:w="6928"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r>
      <w:tr>
        <w:tblPrEx>
          <w:tblCellMar>
            <w:top w:w="0" w:type="dxa"/>
            <w:left w:w="108" w:type="dxa"/>
            <w:bottom w:w="0" w:type="dxa"/>
            <w:right w:w="108" w:type="dxa"/>
          </w:tblCellMar>
        </w:tblPrEx>
        <w:trPr>
          <w:trHeight w:val="426" w:hRule="atLeast"/>
          <w:jc w:val="center"/>
        </w:trPr>
        <w:tc>
          <w:tcPr>
            <w:tcW w:w="642"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c>
          <w:tcPr>
            <w:tcW w:w="925"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c>
          <w:tcPr>
            <w:tcW w:w="1389"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c>
          <w:tcPr>
            <w:tcW w:w="7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925" w:type="dxa"/>
            <w:vMerge w:val="continue"/>
            <w:tcBorders>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p>
        </w:tc>
        <w:tc>
          <w:tcPr>
            <w:tcW w:w="1000"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914" w:type="dxa"/>
            <w:vMerge w:val="continue"/>
            <w:tcBorders>
              <w:left w:val="single" w:color="000000" w:sz="4" w:space="0"/>
              <w:bottom w:val="single" w:color="000000" w:sz="4" w:space="0"/>
              <w:right w:val="single" w:color="auto"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p>
        </w:tc>
        <w:tc>
          <w:tcPr>
            <w:tcW w:w="6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b/>
                <w:bCs/>
                <w:color w:val="000000"/>
                <w:sz w:val="18"/>
                <w:szCs w:val="18"/>
              </w:rPr>
            </w:pPr>
          </w:p>
        </w:tc>
      </w:tr>
      <w:tr>
        <w:tblPrEx>
          <w:tblCellMar>
            <w:top w:w="0" w:type="dxa"/>
            <w:left w:w="108" w:type="dxa"/>
            <w:bottom w:w="0" w:type="dxa"/>
            <w:right w:w="108" w:type="dxa"/>
          </w:tblCellMar>
        </w:tblPrEx>
        <w:trPr>
          <w:trHeight w:val="1467"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地面调查</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hint="eastAsia" w:cs="Times New Roman"/>
                <w:color w:val="000000"/>
                <w:kern w:val="0"/>
                <w:sz w:val="18"/>
                <w:szCs w:val="18"/>
                <w:lang w:bidi="ar"/>
              </w:rPr>
              <w:t>区域</w:t>
            </w:r>
            <w:r>
              <w:rPr>
                <w:rFonts w:hint="eastAsia" w:ascii="宋体" w:hAnsi="宋体" w:cs="宋体"/>
                <w:color w:val="000000"/>
                <w:kern w:val="0"/>
                <w:sz w:val="18"/>
                <w:szCs w:val="18"/>
                <w:lang w:bidi="ar"/>
              </w:rPr>
              <w:t>地下水环境状况调查</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km</w:t>
            </w:r>
            <w:r>
              <w:rPr>
                <w:rFonts w:cs="Times New Roman"/>
                <w:color w:val="000000"/>
                <w:kern w:val="0"/>
                <w:sz w:val="18"/>
                <w:szCs w:val="18"/>
                <w:vertAlign w:val="superscript"/>
                <w:lang w:bidi="ar"/>
              </w:rPr>
              <w:t>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108.11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1842.8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19.92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第四系地层分布，地质复杂程度</w:t>
            </w:r>
            <w:r>
              <w:rPr>
                <w:rFonts w:cs="Times New Roman"/>
                <w:color w:val="000000"/>
                <w:kern w:val="0"/>
                <w:sz w:val="18"/>
                <w:szCs w:val="18"/>
                <w:lang w:bidi="ar"/>
              </w:rPr>
              <w:t>I</w:t>
            </w:r>
            <w:r>
              <w:rPr>
                <w:rFonts w:hint="eastAsia" w:ascii="宋体" w:hAnsi="宋体" w:cs="宋体"/>
                <w:color w:val="000000"/>
                <w:kern w:val="0"/>
                <w:sz w:val="18"/>
                <w:szCs w:val="18"/>
                <w:lang w:bidi="ar"/>
              </w:rPr>
              <w:t>类，工作比例尺</w:t>
            </w:r>
            <w:r>
              <w:rPr>
                <w:rFonts w:cs="Times New Roman"/>
                <w:color w:val="000000"/>
                <w:kern w:val="0"/>
                <w:sz w:val="18"/>
                <w:szCs w:val="18"/>
                <w:lang w:bidi="ar"/>
              </w:rPr>
              <w:t>1:1</w:t>
            </w:r>
            <w:r>
              <w:rPr>
                <w:rFonts w:hint="eastAsia" w:ascii="宋体" w:hAnsi="宋体" w:cs="宋体"/>
                <w:color w:val="000000"/>
                <w:kern w:val="0"/>
                <w:sz w:val="18"/>
                <w:szCs w:val="18"/>
                <w:lang w:bidi="ar"/>
              </w:rPr>
              <w:t>万，草测。主要工作任务包括需开展污染源调查、水文地质调查、监测井筛查等工作，预算标准参照《河北省地质调查预算标准》（2010修订本）中</w:t>
            </w:r>
            <w:r>
              <w:rPr>
                <w:rFonts w:cs="Times New Roman"/>
                <w:color w:val="000000"/>
                <w:kern w:val="0"/>
                <w:sz w:val="18"/>
                <w:szCs w:val="18"/>
                <w:lang w:bidi="ar"/>
              </w:rPr>
              <w:t>1:1</w:t>
            </w:r>
            <w:r>
              <w:rPr>
                <w:rFonts w:hint="eastAsia" w:ascii="宋体" w:hAnsi="宋体" w:cs="宋体"/>
                <w:color w:val="000000"/>
                <w:kern w:val="0"/>
                <w:sz w:val="18"/>
                <w:szCs w:val="18"/>
                <w:lang w:bidi="ar"/>
              </w:rPr>
              <w:t>万专项水文地质和生态环境地质调查，工作类型为修测（按照实测的50%），同时根据中国地质调查局相关规定，两项同时开展，按照标准之和的</w:t>
            </w:r>
            <w:r>
              <w:rPr>
                <w:rFonts w:cs="Times New Roman"/>
                <w:color w:val="000000"/>
                <w:kern w:val="0"/>
                <w:sz w:val="18"/>
                <w:szCs w:val="18"/>
                <w:lang w:bidi="ar"/>
              </w:rPr>
              <w:t>80%</w:t>
            </w:r>
            <w:r>
              <w:rPr>
                <w:rFonts w:hint="eastAsia" w:ascii="宋体" w:hAnsi="宋体" w:cs="宋体"/>
                <w:color w:val="000000"/>
                <w:kern w:val="0"/>
                <w:sz w:val="18"/>
                <w:szCs w:val="18"/>
                <w:lang w:bidi="ar"/>
              </w:rPr>
              <w:t>取费。</w:t>
            </w:r>
          </w:p>
        </w:tc>
      </w:tr>
      <w:tr>
        <w:tblPrEx>
          <w:tblCellMar>
            <w:top w:w="0" w:type="dxa"/>
            <w:left w:w="108" w:type="dxa"/>
            <w:bottom w:w="0" w:type="dxa"/>
            <w:right w:w="108" w:type="dxa"/>
          </w:tblCellMar>
        </w:tblPrEx>
        <w:trPr>
          <w:trHeight w:val="1467"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hint="eastAsia" w:ascii="宋体" w:hAnsi="宋体" w:cs="宋体"/>
                <w:color w:val="000000"/>
                <w:kern w:val="0"/>
                <w:sz w:val="18"/>
                <w:szCs w:val="18"/>
                <w:lang w:bidi="ar"/>
              </w:rPr>
              <w:t>地下水环境状况详查</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km</w:t>
            </w:r>
            <w:r>
              <w:rPr>
                <w:rFonts w:cs="Times New Roman"/>
                <w:color w:val="000000"/>
                <w:kern w:val="0"/>
                <w:sz w:val="18"/>
                <w:szCs w:val="18"/>
                <w:vertAlign w:val="superscript"/>
                <w:lang w:bidi="ar"/>
              </w:rPr>
              <w:t>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17140.8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137.13</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第四系地层分布，地质复杂程度</w:t>
            </w:r>
            <w:r>
              <w:rPr>
                <w:rFonts w:cs="Times New Roman"/>
                <w:color w:val="000000"/>
                <w:kern w:val="0"/>
                <w:sz w:val="18"/>
                <w:szCs w:val="18"/>
                <w:lang w:bidi="ar"/>
              </w:rPr>
              <w:t>I</w:t>
            </w:r>
            <w:r>
              <w:rPr>
                <w:rFonts w:hint="eastAsia" w:ascii="宋体" w:hAnsi="宋体" w:cs="宋体"/>
                <w:color w:val="000000"/>
                <w:kern w:val="0"/>
                <w:sz w:val="18"/>
                <w:szCs w:val="18"/>
                <w:lang w:bidi="ar"/>
              </w:rPr>
              <w:t>类，工作比例尺</w:t>
            </w:r>
            <w:r>
              <w:rPr>
                <w:rFonts w:cs="Times New Roman"/>
                <w:color w:val="000000"/>
                <w:kern w:val="0"/>
                <w:sz w:val="18"/>
                <w:szCs w:val="18"/>
                <w:lang w:bidi="ar"/>
              </w:rPr>
              <w:t>1:2000</w:t>
            </w:r>
            <w:r>
              <w:rPr>
                <w:rFonts w:hint="eastAsia" w:ascii="宋体" w:hAnsi="宋体" w:cs="宋体"/>
                <w:color w:val="000000"/>
                <w:kern w:val="0"/>
                <w:sz w:val="18"/>
                <w:szCs w:val="18"/>
                <w:lang w:bidi="ar"/>
              </w:rPr>
              <w:t>，草测。主要工作任务包括开展污染源调查、水文地质调查、监测井筛查等工作，预算标准参照《河北省地质调查预算标准》（2010修订本）中</w:t>
            </w:r>
            <w:r>
              <w:rPr>
                <w:rFonts w:cs="Times New Roman"/>
                <w:color w:val="000000"/>
                <w:kern w:val="0"/>
                <w:sz w:val="18"/>
                <w:szCs w:val="18"/>
                <w:lang w:bidi="ar"/>
              </w:rPr>
              <w:t>1:2000</w:t>
            </w:r>
            <w:r>
              <w:rPr>
                <w:rFonts w:hint="eastAsia" w:ascii="宋体" w:hAnsi="宋体" w:cs="宋体"/>
                <w:color w:val="000000"/>
                <w:kern w:val="0"/>
                <w:sz w:val="18"/>
                <w:szCs w:val="18"/>
                <w:lang w:bidi="ar"/>
              </w:rPr>
              <w:t>专项水文地质和生态环境地质调查，工作类型为修测（按照实测的50</w:t>
            </w:r>
            <w:r>
              <w:rPr>
                <w:rFonts w:cs="Times New Roman"/>
                <w:color w:val="000000"/>
                <w:kern w:val="0"/>
                <w:sz w:val="18"/>
                <w:szCs w:val="18"/>
                <w:lang w:bidi="ar"/>
              </w:rPr>
              <w:t>%</w:t>
            </w:r>
            <w:r>
              <w:rPr>
                <w:rFonts w:hint="eastAsia" w:ascii="宋体" w:hAnsi="宋体" w:cs="宋体"/>
                <w:color w:val="000000"/>
                <w:kern w:val="0"/>
                <w:sz w:val="18"/>
                <w:szCs w:val="18"/>
                <w:lang w:bidi="ar"/>
              </w:rPr>
              <w:t>），同时根据中国地质调查局相关规定，两项同时开展，按照标准之和的</w:t>
            </w:r>
            <w:r>
              <w:rPr>
                <w:rFonts w:cs="Times New Roman"/>
                <w:color w:val="000000"/>
                <w:kern w:val="0"/>
                <w:sz w:val="18"/>
                <w:szCs w:val="18"/>
                <w:lang w:bidi="ar"/>
              </w:rPr>
              <w:t>80%</w:t>
            </w:r>
            <w:r>
              <w:rPr>
                <w:rFonts w:hint="eastAsia" w:ascii="宋体" w:hAnsi="宋体" w:cs="宋体"/>
                <w:color w:val="000000"/>
                <w:kern w:val="0"/>
                <w:sz w:val="18"/>
                <w:szCs w:val="18"/>
                <w:lang w:bidi="ar"/>
              </w:rPr>
              <w:t>取费。</w:t>
            </w:r>
          </w:p>
        </w:tc>
      </w:tr>
      <w:tr>
        <w:tblPrEx>
          <w:tblCellMar>
            <w:top w:w="0" w:type="dxa"/>
            <w:left w:w="108" w:type="dxa"/>
            <w:bottom w:w="0" w:type="dxa"/>
            <w:right w:w="108" w:type="dxa"/>
          </w:tblCellMar>
        </w:tblPrEx>
        <w:trPr>
          <w:trHeight w:val="884"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水文地质钻探</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34</w:t>
            </w:r>
            <w:r>
              <w:rPr>
                <w:rFonts w:hint="eastAsia" w:ascii="宋体" w:hAnsi="宋体" w:cs="宋体"/>
                <w:color w:val="000000"/>
                <w:kern w:val="0"/>
                <w:sz w:val="18"/>
                <w:szCs w:val="18"/>
                <w:lang w:bidi="ar"/>
              </w:rPr>
              <w:t>处重点污染点，单井深</w:t>
            </w:r>
            <w:r>
              <w:rPr>
                <w:rFonts w:cs="Times New Roman"/>
                <w:color w:val="000000"/>
                <w:kern w:val="0"/>
                <w:sz w:val="18"/>
                <w:szCs w:val="18"/>
                <w:lang w:bidi="ar"/>
              </w:rPr>
              <w:t>70m</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m</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4410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583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257.1</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依据场地周边地下水流场、污染源分布以及已有可利用监测井进行补充新建监测井，以查清污染范围和开展持续监测。</w:t>
            </w:r>
          </w:p>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参照主体取水层位和初调勘查成果确定新建监测井单孔孔深7</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m，该区岩石级别I级。</w:t>
            </w:r>
            <w:r>
              <w:rPr>
                <w:rFonts w:cs="Times New Roman"/>
                <w:color w:val="000000"/>
                <w:kern w:val="0"/>
                <w:sz w:val="18"/>
                <w:szCs w:val="18"/>
                <w:lang w:bidi="ar"/>
              </w:rPr>
              <w:br w:type="textWrapping"/>
            </w:r>
            <w:r>
              <w:rPr>
                <w:rFonts w:hint="eastAsia" w:ascii="宋体" w:hAnsi="宋体" w:cs="宋体"/>
                <w:color w:val="000000"/>
                <w:kern w:val="0"/>
                <w:sz w:val="18"/>
                <w:szCs w:val="18"/>
                <w:lang w:bidi="ar"/>
              </w:rPr>
              <w:t>预算标准：参照《河北省地质调查预算标准》（2010修订本）水文地质钻探取心口径110-146mm，井深0-100m，成井口径450mm,岩石级别I级,按583元/m取费。</w:t>
            </w:r>
          </w:p>
        </w:tc>
      </w:tr>
      <w:tr>
        <w:tblPrEx>
          <w:tblCellMar>
            <w:top w:w="0" w:type="dxa"/>
            <w:left w:w="108" w:type="dxa"/>
            <w:bottom w:w="0" w:type="dxa"/>
            <w:right w:w="108" w:type="dxa"/>
          </w:tblCellMar>
        </w:tblPrEx>
        <w:trPr>
          <w:trHeight w:val="640"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测井</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m</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4410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70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30.87</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测井指标包括电阻率、自然电位、自然伽马、井斜、井径、三侧向测井六参数。</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预算标准参照《河北省地质调查预算标准》（2010修订本）。</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岩心编录</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m</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4410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9.26</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开展岩心编录。预算标准：参照《河北省地质调查预算标准》（2010修订本）水文地质钻探岩心编录取费</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成井管材</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m</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4410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98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43.22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工作量:水文地质钻探进尺，管材管径200mm，壁厚9.5mm，管材材质UPVC预算标准：市场询价，含运费。</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砾料粘土球</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吨</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320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25.6</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工作量：按照成井孔径450mm，管径200mm进行核算。</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预算表中：参照市场询价</w:t>
            </w:r>
          </w:p>
        </w:tc>
      </w:tr>
      <w:tr>
        <w:tblPrEx>
          <w:tblCellMar>
            <w:top w:w="0" w:type="dxa"/>
            <w:left w:w="108" w:type="dxa"/>
            <w:bottom w:w="0" w:type="dxa"/>
            <w:right w:w="108" w:type="dxa"/>
          </w:tblCellMar>
        </w:tblPrEx>
        <w:trPr>
          <w:trHeight w:val="640"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井口保护装置购置及安装</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1450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9.14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水文地质钻孔均保留作为地下水监测井，按照规范要求建设井口保护装置。井口保护装置及建设安装费用预算参照市场询价及当地用工费用概算确定。</w:t>
            </w:r>
          </w:p>
        </w:tc>
      </w:tr>
      <w:tr>
        <w:tblPrEx>
          <w:tblCellMar>
            <w:top w:w="0" w:type="dxa"/>
            <w:left w:w="108" w:type="dxa"/>
            <w:bottom w:w="0" w:type="dxa"/>
            <w:right w:w="108" w:type="dxa"/>
          </w:tblCellMar>
        </w:tblPrEx>
        <w:trPr>
          <w:trHeight w:val="593"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工程地质钻探</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区域含水层结构探查</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m</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343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9.6</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补充查清区域含水层结构。预算标准：参照《河北省地质调查预算标准》（2010修订本），地层分类</w:t>
            </w:r>
            <w:r>
              <w:rPr>
                <w:rFonts w:cs="Times New Roman"/>
                <w:color w:val="000000"/>
                <w:kern w:val="0"/>
                <w:sz w:val="18"/>
                <w:szCs w:val="18"/>
                <w:lang w:bidi="ar"/>
              </w:rPr>
              <w:t>II</w:t>
            </w:r>
            <w:r>
              <w:rPr>
                <w:rFonts w:hint="eastAsia" w:ascii="宋体" w:hAnsi="宋体" w:cs="宋体"/>
                <w:color w:val="000000"/>
                <w:kern w:val="0"/>
                <w:sz w:val="18"/>
                <w:szCs w:val="18"/>
                <w:lang w:bidi="ar"/>
              </w:rPr>
              <w:t>级,孔深70m，取费343元/m。</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岩心编录</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M</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16.06</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0.45</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预算标准：参照《河北省地质调查预算标准》（2010修订本），其他钻探岩心编录取费</w:t>
            </w:r>
          </w:p>
        </w:tc>
      </w:tr>
      <w:tr>
        <w:tblPrEx>
          <w:tblCellMar>
            <w:top w:w="0" w:type="dxa"/>
            <w:left w:w="108" w:type="dxa"/>
            <w:bottom w:w="0" w:type="dxa"/>
            <w:right w:w="108" w:type="dxa"/>
          </w:tblCellMar>
        </w:tblPrEx>
        <w:trPr>
          <w:trHeight w:val="884"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三通一平及青苗补偿</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钻探实施占地、青苗及场地平整处理等</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63</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6.3</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预算标准参照《河北省地质调查预算标准》（2010修订本）及工作区实际情况综合确定。</w:t>
            </w:r>
          </w:p>
        </w:tc>
      </w:tr>
      <w:tr>
        <w:tblPrEx>
          <w:tblCellMar>
            <w:top w:w="0" w:type="dxa"/>
            <w:left w:w="108" w:type="dxa"/>
            <w:bottom w:w="0" w:type="dxa"/>
            <w:right w:w="108" w:type="dxa"/>
          </w:tblCellMar>
        </w:tblPrEx>
        <w:trPr>
          <w:trHeight w:val="1467"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5</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样品采集</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1520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121.6</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包括监测井洗井、样品采集、保存流转时发生的洗井设备租赁、车辆租赁、采样人员补助、采样耗材购置等事项。根据市场询价，综合工作区实际情况，洗井设备租赁按800元/天，车辆租赁（含司机）2辆，租赁费为600元/车天，采样和洗井人员4名，劳务费和生活补助按300元/人天，每天取样4组，综合测算每组样品采集费用为800元。质控样不单独计取费用。</w:t>
            </w:r>
          </w:p>
        </w:tc>
      </w:tr>
      <w:tr>
        <w:tblPrEx>
          <w:tblCellMar>
            <w:top w:w="0" w:type="dxa"/>
            <w:left w:w="108" w:type="dxa"/>
            <w:bottom w:w="0" w:type="dxa"/>
            <w:right w:w="108" w:type="dxa"/>
          </w:tblCellMar>
        </w:tblPrEx>
        <w:trPr>
          <w:trHeight w:val="640"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地下水同位素样品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1.28</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与地下水样品取样同时开展，不再计取洗井等费用。预算标准参照《工程勘察服务成本要素信息（2022版）》（中设协字[2022]52号）表4.2取土样成本基价取费</w:t>
            </w:r>
          </w:p>
        </w:tc>
      </w:tr>
      <w:tr>
        <w:tblPrEx>
          <w:tblCellMar>
            <w:top w:w="0" w:type="dxa"/>
            <w:left w:w="108" w:type="dxa"/>
            <w:bottom w:w="0" w:type="dxa"/>
            <w:right w:w="108" w:type="dxa"/>
          </w:tblCellMar>
        </w:tblPrEx>
        <w:trPr>
          <w:trHeight w:val="884"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土壤样品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780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15</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1.17</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kern w:val="0"/>
                <w:sz w:val="18"/>
                <w:szCs w:val="18"/>
                <w:lang w:bidi="ar"/>
              </w:rPr>
            </w:pPr>
            <w:r>
              <w:rPr>
                <w:rFonts w:hint="eastAsia" w:ascii="宋体" w:hAnsi="宋体" w:cs="宋体"/>
                <w:color w:val="000000"/>
                <w:kern w:val="0"/>
                <w:sz w:val="18"/>
                <w:szCs w:val="18"/>
                <w:lang w:bidi="ar"/>
              </w:rPr>
              <w:t>预算标准参照《工程勘察服务成本要素信息（2022版）》（中设协字[2022]52号）表4.2取土样成本基价取费。</w:t>
            </w:r>
          </w:p>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质控样不单独计取费用</w:t>
            </w:r>
          </w:p>
        </w:tc>
      </w:tr>
      <w:tr>
        <w:tblPrEx>
          <w:tblCellMar>
            <w:top w:w="0" w:type="dxa"/>
            <w:left w:w="108" w:type="dxa"/>
            <w:bottom w:w="0" w:type="dxa"/>
            <w:right w:w="108" w:type="dxa"/>
          </w:tblCellMar>
        </w:tblPrEx>
        <w:trPr>
          <w:trHeight w:val="884"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样品测试</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现场测试</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300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160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4.8</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预算标准参照《河北省地质调查预算标准》（2010修订本）确定，测试指标包括温度、pH、电导率、溶解性总固体、溶解氧、氧化还原电位和浊度、硝酸盐、亚硝酸盐、氨氮等。</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1520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395.2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区域控制样品按照丰水期和枯水期各一次采样，重点区按照每季度采样一次。预算标准参照《河北省地质调查预算标准》（2010修订本）及市场报价综合确定，测试指标包括地下水质量标准规定的39项常规指标。</w:t>
            </w:r>
          </w:p>
        </w:tc>
      </w:tr>
      <w:tr>
        <w:tblPrEx>
          <w:tblCellMar>
            <w:top w:w="0" w:type="dxa"/>
            <w:left w:w="108" w:type="dxa"/>
            <w:bottom w:w="0" w:type="dxa"/>
            <w:right w:w="108" w:type="dxa"/>
          </w:tblCellMar>
        </w:tblPrEx>
        <w:trPr>
          <w:trHeight w:val="432"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地下水样品质控样</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304</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2600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79.04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按照地下水样品1</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质控样和1</w:t>
            </w:r>
            <w:r>
              <w:rPr>
                <w:rFonts w:ascii="宋体" w:hAnsi="宋体" w:cs="宋体"/>
                <w:color w:val="000000"/>
                <w:kern w:val="0"/>
                <w:sz w:val="18"/>
                <w:szCs w:val="18"/>
                <w:lang w:bidi="ar"/>
              </w:rPr>
              <w:t>0%</w:t>
            </w:r>
            <w:r>
              <w:rPr>
                <w:rFonts w:hint="eastAsia" w:ascii="宋体" w:hAnsi="宋体" w:cs="宋体"/>
                <w:color w:val="000000"/>
                <w:kern w:val="0"/>
                <w:sz w:val="18"/>
                <w:szCs w:val="18"/>
                <w:lang w:bidi="ar"/>
              </w:rPr>
              <w:t>平行样进行质量控制样品采集。预算标准参照《河北省地质调查预算标准》（2010修订本）及实验室报价综合确定，测试指标包括地下水质量标准规定的39项常规指标。</w:t>
            </w:r>
          </w:p>
        </w:tc>
      </w:tr>
      <w:tr>
        <w:tblPrEx>
          <w:tblCellMar>
            <w:top w:w="0" w:type="dxa"/>
            <w:left w:w="108" w:type="dxa"/>
            <w:bottom w:w="0" w:type="dxa"/>
            <w:right w:w="108" w:type="dxa"/>
          </w:tblCellMar>
        </w:tblPrEx>
        <w:trPr>
          <w:trHeight w:val="432"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土壤样品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240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43.2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预算标准参照《河北省地质调查预算标准》（2010修订本）及实验室报价综合确定。</w:t>
            </w:r>
          </w:p>
        </w:tc>
      </w:tr>
      <w:tr>
        <w:tblPrEx>
          <w:tblCellMar>
            <w:top w:w="0" w:type="dxa"/>
            <w:left w:w="108" w:type="dxa"/>
            <w:bottom w:w="0" w:type="dxa"/>
            <w:right w:w="108" w:type="dxa"/>
          </w:tblCellMar>
        </w:tblPrEx>
        <w:trPr>
          <w:trHeight w:val="432"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土壤质控样</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1800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8.64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预算标准参照《河北省地质调查预算标准》（2010修订本）及实验室报价综合确定。</w:t>
            </w:r>
          </w:p>
        </w:tc>
      </w:tr>
      <w:tr>
        <w:tblPrEx>
          <w:tblCellMar>
            <w:top w:w="0" w:type="dxa"/>
            <w:left w:w="108" w:type="dxa"/>
            <w:bottom w:w="0" w:type="dxa"/>
            <w:right w:w="108" w:type="dxa"/>
          </w:tblCellMar>
        </w:tblPrEx>
        <w:trPr>
          <w:trHeight w:val="301"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释光测年</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30</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从补给区到径流排泄区，共计选择3眼钻孔，开展岩心样品采集，开展释光测年，为精确划分区域含水层结构提供支撑。预算标准参照实验室询价。</w:t>
            </w:r>
          </w:p>
        </w:tc>
      </w:tr>
      <w:tr>
        <w:tblPrEx>
          <w:tblCellMar>
            <w:top w:w="0" w:type="dxa"/>
            <w:left w:w="108" w:type="dxa"/>
            <w:bottom w:w="0" w:type="dxa"/>
            <w:right w:w="108" w:type="dxa"/>
          </w:tblCellMar>
        </w:tblPrEx>
        <w:trPr>
          <w:trHeight w:val="301"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孢粉分析</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700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从补给区到径流排泄区，共计选择3眼钻孔，开展岩心样品采集，开展孢粉分析测试，为精确划分区域含水层结构提供支撑。根据实验室询价，含样品前处理和鉴定。</w:t>
            </w:r>
          </w:p>
        </w:tc>
      </w:tr>
      <w:tr>
        <w:tblPrEx>
          <w:tblCellMar>
            <w:top w:w="0" w:type="dxa"/>
            <w:left w:w="108" w:type="dxa"/>
            <w:bottom w:w="0" w:type="dxa"/>
            <w:right w:w="108" w:type="dxa"/>
          </w:tblCellMar>
        </w:tblPrEx>
        <w:trPr>
          <w:trHeight w:val="301"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古地磁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从补给区到径流排泄区，共计选择3眼钻孔，开展岩心样品采集，开展释古地磁等测试，为精确划分区域含水层结构提供支撑。根据实验室询价确定。</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地下水δ15N同位素样品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550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主要布设在地下水污染点周边、区内农业污染区及人口集中区，识别主要污染物来源及迁移转化途径，丰水期和枯水期各采样一次。预算标准参照《河北省地质调查预算标准》（2010修订本）及市场报价综合确定。</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地下水δ34S同位素样品</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主要布设在地下水污染点周边、丘陵采矿区及人口集中区，识别主要污染物来源及迁移转化途径，丰水期和枯水期各采样一次。预算标准参照《河北省地质调查预算标准》（2010修订本）及实验室询价综合确定。</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nil"/>
              <w:left w:val="nil"/>
              <w:bottom w:val="nil"/>
              <w:right w:val="nil"/>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地下水δ</w:t>
            </w:r>
            <w:r>
              <w:rPr>
                <w:rFonts w:cs="Times New Roman"/>
                <w:color w:val="000000"/>
                <w:kern w:val="0"/>
                <w:sz w:val="18"/>
                <w:szCs w:val="18"/>
                <w:lang w:bidi="ar"/>
              </w:rPr>
              <w:t>D</w:t>
            </w:r>
            <w:r>
              <w:rPr>
                <w:rFonts w:hint="eastAsia" w:ascii="宋体" w:hAnsi="宋体" w:cs="宋体"/>
                <w:color w:val="000000"/>
                <w:kern w:val="0"/>
                <w:sz w:val="18"/>
                <w:szCs w:val="18"/>
                <w:lang w:bidi="ar"/>
              </w:rPr>
              <w:t>、δ</w:t>
            </w:r>
            <w:r>
              <w:rPr>
                <w:rFonts w:cs="Times New Roman"/>
                <w:color w:val="000000"/>
                <w:kern w:val="0"/>
                <w:sz w:val="18"/>
                <w:szCs w:val="18"/>
                <w:vertAlign w:val="superscript"/>
                <w:lang w:bidi="ar"/>
              </w:rPr>
              <w:t>18</w:t>
            </w:r>
            <w:r>
              <w:rPr>
                <w:rFonts w:cs="Times New Roman"/>
                <w:color w:val="000000"/>
                <w:kern w:val="0"/>
                <w:sz w:val="18"/>
                <w:szCs w:val="18"/>
                <w:lang w:bidi="ar"/>
              </w:rPr>
              <w:t>O</w:t>
            </w:r>
            <w:r>
              <w:rPr>
                <w:rFonts w:hint="eastAsia" w:ascii="宋体" w:hAnsi="宋体" w:cs="宋体"/>
                <w:color w:val="000000"/>
                <w:kern w:val="0"/>
                <w:sz w:val="18"/>
                <w:szCs w:val="18"/>
                <w:lang w:bidi="ar"/>
              </w:rPr>
              <w:t>同位素</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组</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160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500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与δ15N和δ34S同位素样品匹配采样，用于研究分析地下水来源和补给条件等，丰水期和枯水期各采样一次。预算标准参照《河北省地质调查预算标准》（2010修订本）及实验室询价综合确定。</w:t>
            </w:r>
          </w:p>
        </w:tc>
      </w:tr>
      <w:tr>
        <w:tblPrEx>
          <w:tblCellMar>
            <w:top w:w="0" w:type="dxa"/>
            <w:left w:w="108" w:type="dxa"/>
            <w:bottom w:w="0" w:type="dxa"/>
            <w:right w:w="108" w:type="dxa"/>
          </w:tblCellMar>
        </w:tblPrEx>
        <w:trPr>
          <w:trHeight w:val="640"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7</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原位观测</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地下水水位长期在线观测点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20</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8750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17.5</w:t>
            </w:r>
          </w:p>
        </w:tc>
        <w:tc>
          <w:tcPr>
            <w:tcW w:w="6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市场询价。监测指标包括水温、压力等，预算标准包括监测传感器等。</w:t>
            </w:r>
          </w:p>
        </w:tc>
      </w:tr>
      <w:tr>
        <w:tblPrEx>
          <w:tblCellMar>
            <w:top w:w="0" w:type="dxa"/>
            <w:left w:w="108" w:type="dxa"/>
            <w:bottom w:w="0" w:type="dxa"/>
            <w:right w:w="108" w:type="dxa"/>
          </w:tblCellMar>
        </w:tblPrEx>
        <w:trPr>
          <w:trHeight w:val="640"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地下水水质长期在线观测点</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39500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63.2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市场询价。监测指标包括水位、水温、电导率、氨氮、硝酸盐氮。预算标准包括监测传感器等。</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地下水流速流向测试</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井次</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126</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462</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5.82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预算标准参照《河北省地质调查预算标准》（2010修订本）确定。</w:t>
            </w:r>
          </w:p>
        </w:tc>
      </w:tr>
      <w:tr>
        <w:tblPrEx>
          <w:tblCellMar>
            <w:top w:w="0" w:type="dxa"/>
            <w:left w:w="108" w:type="dxa"/>
            <w:bottom w:w="0" w:type="dxa"/>
            <w:right w:w="108" w:type="dxa"/>
          </w:tblCellMar>
        </w:tblPrEx>
        <w:trPr>
          <w:trHeight w:val="432"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地下水位统测</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点次</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832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68</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5.66</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预算标准参照《河北省地质调查预算标准》（2010修订本）确定。</w:t>
            </w:r>
          </w:p>
        </w:tc>
      </w:tr>
      <w:tr>
        <w:tblPrEx>
          <w:tblCellMar>
            <w:top w:w="0" w:type="dxa"/>
            <w:left w:w="108" w:type="dxa"/>
            <w:bottom w:w="0" w:type="dxa"/>
            <w:right w:w="108" w:type="dxa"/>
          </w:tblCellMar>
        </w:tblPrEx>
        <w:trPr>
          <w:trHeight w:val="640"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8</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工程测量</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新建钻孔和统测点RTK测量</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点次</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208</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300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6.24</w:t>
            </w:r>
          </w:p>
        </w:tc>
        <w:tc>
          <w:tcPr>
            <w:tcW w:w="6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市场询价</w:t>
            </w:r>
          </w:p>
        </w:tc>
      </w:tr>
      <w:tr>
        <w:tblPrEx>
          <w:tblCellMar>
            <w:top w:w="0" w:type="dxa"/>
            <w:left w:w="108" w:type="dxa"/>
            <w:bottom w:w="0" w:type="dxa"/>
            <w:right w:w="108" w:type="dxa"/>
          </w:tblCellMar>
        </w:tblPrEx>
        <w:trPr>
          <w:trHeight w:val="640"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9</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数值模拟</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一亩泉水源地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434534</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43.45</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预算标准参照《工程勘察设计收费标准》（2002版）三维水量水质模型，复杂程度简单。模型面积188.11km2，标准单价为2310元，费用小计为434534元。</w:t>
            </w:r>
          </w:p>
        </w:tc>
      </w:tr>
      <w:tr>
        <w:tblPrEx>
          <w:tblCellMar>
            <w:top w:w="0" w:type="dxa"/>
            <w:left w:w="108" w:type="dxa"/>
            <w:bottom w:w="0" w:type="dxa"/>
            <w:right w:w="108" w:type="dxa"/>
          </w:tblCellMar>
        </w:tblPrEx>
        <w:trPr>
          <w:trHeight w:val="1176"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典型污染场地</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个</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96410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19.28</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工程勘察服务成本要素信息（2022版）》（中设协字[2022]52号）人工日法核算，1个典型污染场地建模和数值模拟分析需要1个高级工程师和1个中级工程师各投入工作10天，1个中级工程师人工成本按4285元/日核算，1个高级工程师人工成本按5356元/日核算，总计费用为96410元。</w:t>
            </w:r>
          </w:p>
        </w:tc>
      </w:tr>
      <w:tr>
        <w:tblPrEx>
          <w:tblCellMar>
            <w:top w:w="0" w:type="dxa"/>
            <w:left w:w="108" w:type="dxa"/>
            <w:bottom w:w="0" w:type="dxa"/>
            <w:right w:w="108" w:type="dxa"/>
          </w:tblCellMar>
        </w:tblPrEx>
        <w:trPr>
          <w:trHeight w:val="593" w:hRule="atLeast"/>
          <w:jc w:val="center"/>
        </w:trPr>
        <w:tc>
          <w:tcPr>
            <w:tcW w:w="6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10</w:t>
            </w:r>
          </w:p>
        </w:tc>
        <w:tc>
          <w:tcPr>
            <w:tcW w:w="92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报告及图件编制</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编写实施方案</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份</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43340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4.33</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预算标准参照《河北省地质调查预算标准》（2010修订本）其他地质工作，区域水工环设计方案编写</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编写成果报告</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份</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127331</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12.73</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预算标准参照《河北省地质调查预算标准》（2010修订本）其他地质工作，区域水工环成果报告编写</w:t>
            </w:r>
          </w:p>
        </w:tc>
      </w:tr>
      <w:tr>
        <w:tblPrEx>
          <w:tblCellMar>
            <w:top w:w="0" w:type="dxa"/>
            <w:left w:w="108" w:type="dxa"/>
            <w:bottom w:w="0" w:type="dxa"/>
            <w:right w:w="108" w:type="dxa"/>
          </w:tblCellMar>
        </w:tblPrEx>
        <w:trPr>
          <w:trHeight w:val="593" w:hRule="atLeast"/>
          <w:jc w:val="center"/>
        </w:trPr>
        <w:tc>
          <w:tcPr>
            <w:tcW w:w="6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cs="Times New Roman"/>
                <w:color w:val="000000"/>
                <w:sz w:val="18"/>
                <w:szCs w:val="18"/>
              </w:rPr>
            </w:pPr>
          </w:p>
        </w:tc>
        <w:tc>
          <w:tcPr>
            <w:tcW w:w="92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报告、图纸印刷</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份</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48653</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4.87</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预算标准参照《河北省地质调查预算标准》（2010修订本）其他地质工作，区域水工环报告印刷</w:t>
            </w:r>
          </w:p>
        </w:tc>
      </w:tr>
      <w:tr>
        <w:tblPrEx>
          <w:tblCellMar>
            <w:top w:w="0" w:type="dxa"/>
            <w:left w:w="108" w:type="dxa"/>
            <w:bottom w:w="0" w:type="dxa"/>
            <w:right w:w="108" w:type="dxa"/>
          </w:tblCellMar>
        </w:tblPrEx>
        <w:trPr>
          <w:trHeight w:val="593"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11</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数据库建设</w:t>
            </w:r>
          </w:p>
        </w:tc>
        <w:tc>
          <w:tcPr>
            <w:tcW w:w="1389"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数据库建设</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220000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22</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预算标准参照《河北省地质调查预算标准》（2010修订本）并结合实际确定</w:t>
            </w:r>
          </w:p>
        </w:tc>
      </w:tr>
      <w:tr>
        <w:tblPrEx>
          <w:tblCellMar>
            <w:top w:w="0" w:type="dxa"/>
            <w:left w:w="108" w:type="dxa"/>
            <w:bottom w:w="0" w:type="dxa"/>
            <w:right w:w="108" w:type="dxa"/>
          </w:tblCellMar>
        </w:tblPrEx>
        <w:trPr>
          <w:trHeight w:val="884"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12</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项目绩效评价经费</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40000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4</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预算标准参照《河北省地质调查预算标准》（2010修订本）详查项目绩效评价经费标准</w:t>
            </w:r>
          </w:p>
        </w:tc>
      </w:tr>
      <w:tr>
        <w:tblPrEx>
          <w:tblCellMar>
            <w:top w:w="0" w:type="dxa"/>
            <w:left w:w="108" w:type="dxa"/>
            <w:bottom w:w="0" w:type="dxa"/>
            <w:right w:w="108" w:type="dxa"/>
          </w:tblCellMar>
        </w:tblPrEx>
        <w:trPr>
          <w:trHeight w:val="1176"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13</w:t>
            </w:r>
          </w:p>
        </w:tc>
        <w:tc>
          <w:tcPr>
            <w:tcW w:w="92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专家咨询和项目检查验收费</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项</w:t>
            </w: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w:t>
            </w: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100000</w:t>
            </w: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cs="Times New Roman"/>
                <w:color w:val="000000"/>
                <w:sz w:val="18"/>
                <w:szCs w:val="18"/>
              </w:rPr>
            </w:pPr>
            <w:r>
              <w:rPr>
                <w:rFonts w:cs="Times New Roman"/>
                <w:color w:val="000000"/>
                <w:kern w:val="0"/>
                <w:sz w:val="18"/>
                <w:szCs w:val="18"/>
                <w:lang w:bidi="ar"/>
              </w:rPr>
              <w:t>10</w:t>
            </w:r>
          </w:p>
        </w:tc>
        <w:tc>
          <w:tcPr>
            <w:tcW w:w="692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预算标准参照《河北省地质调查预算标准》（2010修订本）项目检查经费按4%计提，本处结合项目实际并参照以往项目实施确定。</w:t>
            </w:r>
          </w:p>
        </w:tc>
      </w:tr>
      <w:tr>
        <w:tblPrEx>
          <w:tblCellMar>
            <w:top w:w="0" w:type="dxa"/>
            <w:left w:w="108" w:type="dxa"/>
            <w:bottom w:w="0" w:type="dxa"/>
            <w:right w:w="108" w:type="dxa"/>
          </w:tblCellMar>
        </w:tblPrEx>
        <w:trPr>
          <w:trHeight w:val="311" w:hRule="atLeast"/>
          <w:jc w:val="center"/>
        </w:trPr>
        <w:tc>
          <w:tcPr>
            <w:tcW w:w="6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w:t>
            </w:r>
          </w:p>
        </w:tc>
        <w:tc>
          <w:tcPr>
            <w:tcW w:w="231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以上各项之和</w:t>
            </w:r>
          </w:p>
        </w:tc>
        <w:tc>
          <w:tcPr>
            <w:tcW w:w="7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9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10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c>
          <w:tcPr>
            <w:tcW w:w="91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textAlignment w:val="center"/>
              <w:rPr>
                <w:rFonts w:ascii="宋体" w:hAnsi="宋体" w:cs="宋体"/>
                <w:color w:val="000000"/>
                <w:sz w:val="18"/>
                <w:szCs w:val="18"/>
              </w:rPr>
            </w:pPr>
            <w:r>
              <w:rPr>
                <w:rFonts w:hint="eastAsia" w:ascii="宋体" w:hAnsi="宋体" w:cs="宋体"/>
                <w:color w:val="000000"/>
                <w:kern w:val="0"/>
                <w:sz w:val="18"/>
                <w:szCs w:val="18"/>
                <w:lang w:bidi="ar"/>
              </w:rPr>
              <w:t>1480</w:t>
            </w:r>
          </w:p>
        </w:tc>
        <w:tc>
          <w:tcPr>
            <w:tcW w:w="69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spacing w:line="240" w:lineRule="auto"/>
              <w:ind w:firstLine="0" w:firstLineChars="0"/>
              <w:jc w:val="center"/>
              <w:rPr>
                <w:rFonts w:ascii="宋体" w:hAnsi="宋体" w:cs="宋体"/>
                <w:color w:val="000000"/>
                <w:sz w:val="18"/>
                <w:szCs w:val="18"/>
              </w:rPr>
            </w:pPr>
          </w:p>
        </w:tc>
      </w:tr>
    </w:tbl>
    <w:p>
      <w:pPr>
        <w:ind w:firstLine="560"/>
      </w:pPr>
    </w:p>
    <w:p>
      <w:pPr>
        <w:ind w:firstLine="560"/>
        <w:sectPr>
          <w:pgSz w:w="16839" w:h="11907" w:orient="landscape"/>
          <w:pgMar w:top="1797" w:right="1440" w:bottom="1797" w:left="1440" w:header="851" w:footer="992" w:gutter="0"/>
          <w:cols w:space="425" w:num="1"/>
          <w:docGrid w:type="lines" w:linePitch="312" w:charSpace="0"/>
        </w:sectPr>
      </w:pPr>
    </w:p>
    <w:p>
      <w:pPr>
        <w:pStyle w:val="5"/>
        <w:ind w:firstLine="602"/>
        <w:rPr>
          <w:b/>
          <w:bCs/>
        </w:rPr>
      </w:pPr>
      <w:bookmarkStart w:id="95" w:name="_Toc24618"/>
      <w:bookmarkStart w:id="96" w:name="_Toc118098371"/>
      <w:r>
        <w:rPr>
          <w:rFonts w:hint="eastAsia"/>
          <w:b/>
          <w:bCs/>
        </w:rPr>
        <w:t>6.3资金筹措机制</w:t>
      </w:r>
      <w:bookmarkEnd w:id="95"/>
      <w:bookmarkEnd w:id="96"/>
    </w:p>
    <w:p>
      <w:pPr>
        <w:pStyle w:val="6"/>
        <w:spacing w:before="156" w:after="156"/>
        <w:ind w:firstLine="562"/>
      </w:pPr>
      <w:bookmarkStart w:id="97" w:name="_Toc427527068"/>
      <w:bookmarkStart w:id="98" w:name="_Toc416768520"/>
      <w:bookmarkStart w:id="99" w:name="_Toc14797"/>
      <w:bookmarkStart w:id="100" w:name="_Toc493506815"/>
      <w:bookmarkStart w:id="101" w:name="_Toc480530743"/>
      <w:bookmarkStart w:id="102" w:name="_Toc26080"/>
      <w:bookmarkStart w:id="103" w:name="_Toc501541298"/>
      <w:r>
        <w:rPr>
          <w:rFonts w:hint="eastAsia"/>
        </w:rPr>
        <w:t>6</w:t>
      </w:r>
      <w:r>
        <w:t>.3.1资金筹措原则</w:t>
      </w:r>
      <w:bookmarkEnd w:id="97"/>
      <w:bookmarkEnd w:id="98"/>
      <w:bookmarkEnd w:id="99"/>
      <w:bookmarkEnd w:id="100"/>
      <w:bookmarkEnd w:id="101"/>
    </w:p>
    <w:p>
      <w:pPr>
        <w:ind w:firstLine="560"/>
      </w:pPr>
      <w:bookmarkStart w:id="104" w:name="_Toc309795554"/>
      <w:r>
        <w:rPr>
          <w:rFonts w:cs="Times New Roman"/>
          <w:szCs w:val="28"/>
        </w:rPr>
        <w:t>保定市一亩泉地下水型集中式生活饮用水水源地地下水环境状况详细调查与评估项目</w:t>
      </w:r>
      <w:r>
        <w:t>估算编制按照多元化投入的原则，投资估算</w:t>
      </w:r>
      <w:r>
        <w:rPr>
          <w:rFonts w:hint="eastAsia"/>
        </w:rPr>
        <w:t>主要</w:t>
      </w:r>
      <w:r>
        <w:t>包括</w:t>
      </w:r>
      <w:r>
        <w:rPr>
          <w:rFonts w:hint="eastAsia"/>
        </w:rPr>
        <w:t>“中央财政投入”</w:t>
      </w:r>
      <w:r>
        <w:t>、</w:t>
      </w:r>
      <w:r>
        <w:rPr>
          <w:rFonts w:hint="eastAsia"/>
        </w:rPr>
        <w:t>“地方资金投入”两</w:t>
      </w:r>
      <w:r>
        <w:t>部分构成。鉴于方案中项目为公益型项目，具有初期投入大、环境与社会效果强、直接经济效益低的投融资特征。对此，需要中央政府财政、</w:t>
      </w:r>
      <w:r>
        <w:rPr>
          <w:rFonts w:hint="eastAsia"/>
        </w:rPr>
        <w:t>地方资金两</w:t>
      </w:r>
      <w:r>
        <w:t>方共同投入，体现国家重点扶植引导、地方配合实施的投融资原则。</w:t>
      </w:r>
    </w:p>
    <w:bookmarkEnd w:id="104"/>
    <w:p>
      <w:pPr>
        <w:pStyle w:val="6"/>
        <w:spacing w:before="156" w:after="156"/>
        <w:ind w:firstLine="562"/>
      </w:pPr>
      <w:r>
        <w:rPr>
          <w:rFonts w:hint="eastAsia"/>
        </w:rPr>
        <w:t>6</w:t>
      </w:r>
      <w:r>
        <w:t>.3.2地方投入资金来源组成</w:t>
      </w:r>
      <w:bookmarkEnd w:id="102"/>
      <w:bookmarkEnd w:id="103"/>
    </w:p>
    <w:p>
      <w:pPr>
        <w:ind w:firstLine="560"/>
      </w:pPr>
      <w:r>
        <w:rPr>
          <w:rFonts w:hint="eastAsia"/>
        </w:rPr>
        <w:t>地方资金主要包括</w:t>
      </w:r>
      <w:r>
        <w:t>地方政府</w:t>
      </w:r>
      <w:r>
        <w:rPr>
          <w:rFonts w:hint="eastAsia"/>
        </w:rPr>
        <w:t>专用于环境保护、治污的资金等</w:t>
      </w:r>
      <w:r>
        <w:t>，财政支出是政府投资环境保护的主要形式，其主要来源是税收收入、行政事业性收费以及专项资金等。</w:t>
      </w:r>
    </w:p>
    <w:p>
      <w:pPr>
        <w:pStyle w:val="2"/>
        <w:ind w:left="560" w:firstLine="560"/>
      </w:pPr>
    </w:p>
    <w:p>
      <w:pPr>
        <w:ind w:firstLine="560"/>
        <w:sectPr>
          <w:pgSz w:w="11907" w:h="16839"/>
          <w:pgMar w:top="1440" w:right="1797" w:bottom="1440" w:left="1797" w:header="851" w:footer="992" w:gutter="0"/>
          <w:cols w:space="425" w:num="1"/>
          <w:docGrid w:type="lines" w:linePitch="312" w:charSpace="0"/>
        </w:sectPr>
      </w:pPr>
    </w:p>
    <w:p>
      <w:pPr>
        <w:spacing w:line="240" w:lineRule="auto"/>
        <w:ind w:firstLine="0" w:firstLineChars="0"/>
        <w:jc w:val="center"/>
        <w:outlineLvl w:val="0"/>
        <w:rPr>
          <w:rFonts w:eastAsia="方正小标宋_GBK" w:cs="Times New Roman"/>
          <w:bCs/>
          <w:sz w:val="38"/>
          <w:szCs w:val="38"/>
        </w:rPr>
      </w:pPr>
      <w:bookmarkStart w:id="105" w:name="_Toc118098372"/>
      <w:bookmarkStart w:id="106" w:name="_Toc30567"/>
      <w:r>
        <w:rPr>
          <w:rFonts w:eastAsia="方正小标宋_GBK" w:cs="Times New Roman"/>
          <w:bCs/>
          <w:sz w:val="38"/>
          <w:szCs w:val="38"/>
        </w:rPr>
        <w:t>项目绩效目标申报表</w:t>
      </w:r>
      <w:bookmarkEnd w:id="105"/>
      <w:bookmarkEnd w:id="106"/>
    </w:p>
    <w:tbl>
      <w:tblPr>
        <w:tblStyle w:val="30"/>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2"/>
        <w:gridCol w:w="672"/>
        <w:gridCol w:w="276"/>
        <w:gridCol w:w="1505"/>
        <w:gridCol w:w="953"/>
        <w:gridCol w:w="1488"/>
        <w:gridCol w:w="164"/>
        <w:gridCol w:w="2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Align w:val="center"/>
          </w:tcPr>
          <w:p>
            <w:pPr>
              <w:spacing w:line="240" w:lineRule="auto"/>
              <w:ind w:firstLine="0" w:firstLineChars="0"/>
              <w:jc w:val="center"/>
              <w:rPr>
                <w:rFonts w:cs="Times New Roman"/>
                <w:kern w:val="0"/>
                <w:sz w:val="21"/>
                <w:szCs w:val="24"/>
              </w:rPr>
            </w:pPr>
            <w:r>
              <w:rPr>
                <w:rFonts w:cs="Times New Roman"/>
                <w:kern w:val="0"/>
                <w:sz w:val="21"/>
                <w:szCs w:val="24"/>
              </w:rPr>
              <w:t>项目名称</w:t>
            </w:r>
          </w:p>
        </w:tc>
        <w:tc>
          <w:tcPr>
            <w:tcW w:w="6902" w:type="dxa"/>
            <w:gridSpan w:val="5"/>
            <w:vAlign w:val="center"/>
          </w:tcPr>
          <w:p>
            <w:pPr>
              <w:spacing w:line="240" w:lineRule="auto"/>
              <w:ind w:firstLine="0" w:firstLineChars="0"/>
              <w:jc w:val="center"/>
              <w:rPr>
                <w:rFonts w:cs="Times New Roman"/>
                <w:kern w:val="0"/>
                <w:sz w:val="21"/>
                <w:szCs w:val="24"/>
              </w:rPr>
            </w:pPr>
            <w:r>
              <w:rPr>
                <w:rFonts w:cs="Times New Roman"/>
                <w:kern w:val="0"/>
                <w:sz w:val="21"/>
                <w:szCs w:val="24"/>
              </w:rPr>
              <w:t>保定市一亩泉地下水型集中式生活饮用水水源地地下水环境状况详细调查与评估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Align w:val="center"/>
          </w:tcPr>
          <w:p>
            <w:pPr>
              <w:spacing w:line="240" w:lineRule="auto"/>
              <w:ind w:firstLine="0" w:firstLineChars="0"/>
              <w:jc w:val="center"/>
              <w:rPr>
                <w:rFonts w:cs="Times New Roman"/>
                <w:kern w:val="0"/>
                <w:sz w:val="21"/>
                <w:szCs w:val="24"/>
              </w:rPr>
            </w:pPr>
            <w:r>
              <w:rPr>
                <w:rFonts w:cs="Times New Roman"/>
                <w:kern w:val="0"/>
                <w:sz w:val="21"/>
                <w:szCs w:val="24"/>
              </w:rPr>
              <w:t>所属专项</w:t>
            </w:r>
          </w:p>
        </w:tc>
        <w:tc>
          <w:tcPr>
            <w:tcW w:w="6902" w:type="dxa"/>
            <w:gridSpan w:val="5"/>
            <w:vAlign w:val="center"/>
          </w:tcPr>
          <w:p>
            <w:pPr>
              <w:spacing w:line="240" w:lineRule="auto"/>
              <w:ind w:firstLine="0" w:firstLineChars="0"/>
              <w:jc w:val="center"/>
              <w:rPr>
                <w:rFonts w:cs="Times New Roman"/>
                <w:kern w:val="0"/>
                <w:sz w:val="21"/>
                <w:szCs w:val="24"/>
              </w:rPr>
            </w:pPr>
            <w:r>
              <w:rPr>
                <w:rFonts w:cs="Times New Roman"/>
                <w:kern w:val="0"/>
                <w:sz w:val="21"/>
                <w:szCs w:val="24"/>
              </w:rPr>
              <w:t>中央水污染防治专项资金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Align w:val="center"/>
          </w:tcPr>
          <w:p>
            <w:pPr>
              <w:spacing w:line="240" w:lineRule="auto"/>
              <w:ind w:firstLine="0" w:firstLineChars="0"/>
              <w:jc w:val="center"/>
              <w:rPr>
                <w:rFonts w:cs="Times New Roman"/>
                <w:kern w:val="0"/>
                <w:sz w:val="21"/>
                <w:szCs w:val="24"/>
              </w:rPr>
            </w:pPr>
            <w:r>
              <w:rPr>
                <w:rFonts w:cs="Times New Roman"/>
                <w:kern w:val="0"/>
                <w:sz w:val="21"/>
                <w:szCs w:val="24"/>
              </w:rPr>
              <w:t>中央主管部门</w:t>
            </w:r>
          </w:p>
        </w:tc>
        <w:tc>
          <w:tcPr>
            <w:tcW w:w="2458"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财政部、生态环境部</w:t>
            </w:r>
          </w:p>
        </w:tc>
        <w:tc>
          <w:tcPr>
            <w:tcW w:w="1652"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省级财政部门</w:t>
            </w:r>
          </w:p>
        </w:tc>
        <w:tc>
          <w:tcPr>
            <w:tcW w:w="2792" w:type="dxa"/>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河北省</w:t>
            </w:r>
            <w:r>
              <w:rPr>
                <w:rFonts w:cs="Times New Roman"/>
                <w:kern w:val="0"/>
                <w:sz w:val="21"/>
                <w:szCs w:val="24"/>
              </w:rPr>
              <w:t>财政厅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Align w:val="center"/>
          </w:tcPr>
          <w:p>
            <w:pPr>
              <w:spacing w:line="240" w:lineRule="auto"/>
              <w:ind w:firstLine="0" w:firstLineChars="0"/>
              <w:jc w:val="center"/>
              <w:rPr>
                <w:rFonts w:cs="Times New Roman"/>
                <w:kern w:val="0"/>
                <w:sz w:val="21"/>
                <w:szCs w:val="24"/>
              </w:rPr>
            </w:pPr>
            <w:r>
              <w:rPr>
                <w:rFonts w:cs="Times New Roman"/>
                <w:kern w:val="0"/>
                <w:sz w:val="21"/>
                <w:szCs w:val="24"/>
              </w:rPr>
              <w:t>省级主管部门</w:t>
            </w:r>
          </w:p>
        </w:tc>
        <w:tc>
          <w:tcPr>
            <w:tcW w:w="2458"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河北</w:t>
            </w:r>
            <w:r>
              <w:rPr>
                <w:rFonts w:cs="Times New Roman"/>
                <w:kern w:val="0"/>
                <w:sz w:val="21"/>
                <w:szCs w:val="24"/>
              </w:rPr>
              <w:t>省生态环境厅</w:t>
            </w:r>
          </w:p>
        </w:tc>
        <w:tc>
          <w:tcPr>
            <w:tcW w:w="1652"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具体实施单位</w:t>
            </w:r>
          </w:p>
        </w:tc>
        <w:tc>
          <w:tcPr>
            <w:tcW w:w="2792" w:type="dxa"/>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保定市</w:t>
            </w:r>
            <w:r>
              <w:rPr>
                <w:rFonts w:cs="Times New Roman"/>
                <w:kern w:val="0"/>
                <w:sz w:val="21"/>
                <w:szCs w:val="24"/>
              </w:rPr>
              <w:t>生态环境局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资金情况</w:t>
            </w:r>
            <w:r>
              <w:rPr>
                <w:rFonts w:cs="Times New Roman"/>
                <w:kern w:val="0"/>
                <w:sz w:val="21"/>
                <w:szCs w:val="24"/>
              </w:rPr>
              <w:br w:type="textWrapping"/>
            </w:r>
            <w:r>
              <w:rPr>
                <w:rFonts w:cs="Times New Roman"/>
                <w:kern w:val="0"/>
                <w:sz w:val="21"/>
                <w:szCs w:val="24"/>
              </w:rPr>
              <w:t>（万元）</w:t>
            </w:r>
          </w:p>
        </w:tc>
        <w:tc>
          <w:tcPr>
            <w:tcW w:w="1505" w:type="dxa"/>
            <w:vAlign w:val="center"/>
          </w:tcPr>
          <w:p>
            <w:pPr>
              <w:spacing w:line="240" w:lineRule="auto"/>
              <w:ind w:firstLine="0" w:firstLineChars="0"/>
              <w:jc w:val="left"/>
              <w:rPr>
                <w:rFonts w:cs="Times New Roman"/>
                <w:kern w:val="0"/>
                <w:sz w:val="21"/>
                <w:szCs w:val="24"/>
              </w:rPr>
            </w:pPr>
            <w:r>
              <w:rPr>
                <w:rFonts w:cs="Times New Roman"/>
                <w:kern w:val="0"/>
                <w:sz w:val="21"/>
                <w:szCs w:val="24"/>
              </w:rPr>
              <w:t>项目总投资</w:t>
            </w:r>
          </w:p>
        </w:tc>
        <w:tc>
          <w:tcPr>
            <w:tcW w:w="5397" w:type="dxa"/>
            <w:gridSpan w:val="4"/>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1480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Merge w:val="continue"/>
            <w:vAlign w:val="center"/>
          </w:tcPr>
          <w:p>
            <w:pPr>
              <w:spacing w:line="240" w:lineRule="auto"/>
              <w:ind w:firstLine="0" w:firstLineChars="0"/>
              <w:jc w:val="left"/>
              <w:rPr>
                <w:rFonts w:cs="Times New Roman"/>
                <w:kern w:val="0"/>
                <w:sz w:val="21"/>
                <w:szCs w:val="24"/>
              </w:rPr>
            </w:pPr>
          </w:p>
        </w:tc>
        <w:tc>
          <w:tcPr>
            <w:tcW w:w="1505" w:type="dxa"/>
            <w:vAlign w:val="center"/>
          </w:tcPr>
          <w:p>
            <w:pPr>
              <w:spacing w:line="240" w:lineRule="auto"/>
              <w:ind w:firstLine="0" w:firstLineChars="0"/>
              <w:jc w:val="left"/>
              <w:rPr>
                <w:rFonts w:cs="Times New Roman"/>
                <w:kern w:val="0"/>
                <w:sz w:val="21"/>
                <w:szCs w:val="24"/>
              </w:rPr>
            </w:pPr>
            <w:r>
              <w:rPr>
                <w:rFonts w:cs="Times New Roman"/>
                <w:kern w:val="0"/>
                <w:sz w:val="21"/>
                <w:szCs w:val="24"/>
              </w:rPr>
              <w:t xml:space="preserve">    其中：中央财政资金</w:t>
            </w:r>
          </w:p>
        </w:tc>
        <w:tc>
          <w:tcPr>
            <w:tcW w:w="5397" w:type="dxa"/>
            <w:gridSpan w:val="4"/>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1302.4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620" w:type="dxa"/>
            <w:gridSpan w:val="3"/>
            <w:vMerge w:val="continue"/>
            <w:vAlign w:val="center"/>
          </w:tcPr>
          <w:p>
            <w:pPr>
              <w:spacing w:line="240" w:lineRule="auto"/>
              <w:ind w:firstLine="0" w:firstLineChars="0"/>
              <w:jc w:val="left"/>
              <w:rPr>
                <w:rFonts w:cs="Times New Roman"/>
                <w:kern w:val="0"/>
                <w:sz w:val="21"/>
                <w:szCs w:val="24"/>
              </w:rPr>
            </w:pPr>
          </w:p>
        </w:tc>
        <w:tc>
          <w:tcPr>
            <w:tcW w:w="1505" w:type="dxa"/>
            <w:vAlign w:val="center"/>
          </w:tcPr>
          <w:p>
            <w:pPr>
              <w:spacing w:line="240" w:lineRule="auto"/>
              <w:ind w:firstLine="0" w:firstLineChars="0"/>
              <w:jc w:val="left"/>
              <w:rPr>
                <w:rFonts w:cs="Times New Roman"/>
                <w:kern w:val="0"/>
                <w:sz w:val="21"/>
                <w:szCs w:val="24"/>
              </w:rPr>
            </w:pPr>
            <w:r>
              <w:rPr>
                <w:rFonts w:cs="Times New Roman"/>
                <w:kern w:val="0"/>
                <w:sz w:val="21"/>
                <w:szCs w:val="24"/>
              </w:rPr>
              <w:t>地方财政资金</w:t>
            </w:r>
          </w:p>
        </w:tc>
        <w:tc>
          <w:tcPr>
            <w:tcW w:w="5397" w:type="dxa"/>
            <w:gridSpan w:val="4"/>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177.6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1620" w:type="dxa"/>
            <w:gridSpan w:val="3"/>
            <w:vMerge w:val="continue"/>
            <w:vAlign w:val="center"/>
          </w:tcPr>
          <w:p>
            <w:pPr>
              <w:spacing w:line="240" w:lineRule="auto"/>
              <w:ind w:firstLine="0" w:firstLineChars="0"/>
              <w:jc w:val="left"/>
              <w:rPr>
                <w:rFonts w:cs="Times New Roman"/>
                <w:kern w:val="0"/>
                <w:sz w:val="21"/>
                <w:szCs w:val="24"/>
              </w:rPr>
            </w:pPr>
          </w:p>
        </w:tc>
        <w:tc>
          <w:tcPr>
            <w:tcW w:w="1505" w:type="dxa"/>
            <w:vAlign w:val="center"/>
          </w:tcPr>
          <w:p>
            <w:pPr>
              <w:spacing w:line="240" w:lineRule="auto"/>
              <w:ind w:firstLine="0" w:firstLineChars="0"/>
              <w:jc w:val="left"/>
              <w:rPr>
                <w:rFonts w:cs="Times New Roman"/>
                <w:kern w:val="0"/>
                <w:sz w:val="21"/>
                <w:szCs w:val="24"/>
              </w:rPr>
            </w:pPr>
            <w:r>
              <w:rPr>
                <w:rFonts w:cs="Times New Roman"/>
                <w:kern w:val="0"/>
                <w:sz w:val="21"/>
                <w:szCs w:val="24"/>
              </w:rPr>
              <w:t xml:space="preserve">    其他资金</w:t>
            </w:r>
          </w:p>
        </w:tc>
        <w:tc>
          <w:tcPr>
            <w:tcW w:w="5397" w:type="dxa"/>
            <w:gridSpan w:val="4"/>
            <w:vAlign w:val="center"/>
          </w:tcPr>
          <w:p>
            <w:pPr>
              <w:spacing w:line="240" w:lineRule="auto"/>
              <w:ind w:firstLine="0" w:firstLineChars="0"/>
              <w:jc w:val="center"/>
              <w:rPr>
                <w:rFonts w:cs="Times New Roman"/>
                <w:kern w:val="0"/>
                <w:sz w:val="21"/>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672" w:type="dxa"/>
            <w:vAlign w:val="center"/>
          </w:tcPr>
          <w:p>
            <w:pPr>
              <w:spacing w:line="240" w:lineRule="auto"/>
              <w:ind w:firstLine="0" w:firstLineChars="0"/>
              <w:jc w:val="center"/>
              <w:rPr>
                <w:rFonts w:cs="Times New Roman"/>
                <w:kern w:val="0"/>
                <w:sz w:val="21"/>
                <w:szCs w:val="24"/>
              </w:rPr>
            </w:pPr>
            <w:r>
              <w:rPr>
                <w:rFonts w:cs="Times New Roman"/>
                <w:kern w:val="0"/>
                <w:sz w:val="21"/>
                <w:szCs w:val="24"/>
              </w:rPr>
              <w:t>总</w:t>
            </w:r>
            <w:r>
              <w:rPr>
                <w:rFonts w:cs="Times New Roman"/>
                <w:kern w:val="0"/>
                <w:sz w:val="21"/>
                <w:szCs w:val="24"/>
              </w:rPr>
              <w:br w:type="textWrapping"/>
            </w:r>
            <w:r>
              <w:rPr>
                <w:rFonts w:cs="Times New Roman"/>
                <w:kern w:val="0"/>
                <w:sz w:val="21"/>
                <w:szCs w:val="24"/>
              </w:rPr>
              <w:t>体</w:t>
            </w:r>
            <w:r>
              <w:rPr>
                <w:rFonts w:cs="Times New Roman"/>
                <w:kern w:val="0"/>
                <w:sz w:val="21"/>
                <w:szCs w:val="24"/>
              </w:rPr>
              <w:br w:type="textWrapping"/>
            </w:r>
            <w:r>
              <w:rPr>
                <w:rFonts w:cs="Times New Roman"/>
                <w:kern w:val="0"/>
                <w:sz w:val="21"/>
                <w:szCs w:val="24"/>
              </w:rPr>
              <w:t>目</w:t>
            </w:r>
            <w:r>
              <w:rPr>
                <w:rFonts w:cs="Times New Roman"/>
                <w:kern w:val="0"/>
                <w:sz w:val="21"/>
                <w:szCs w:val="24"/>
              </w:rPr>
              <w:br w:type="textWrapping"/>
            </w:r>
            <w:r>
              <w:rPr>
                <w:rFonts w:cs="Times New Roman"/>
                <w:kern w:val="0"/>
                <w:sz w:val="21"/>
                <w:szCs w:val="24"/>
              </w:rPr>
              <w:t>标</w:t>
            </w:r>
          </w:p>
        </w:tc>
        <w:tc>
          <w:tcPr>
            <w:tcW w:w="7850" w:type="dxa"/>
            <w:gridSpan w:val="7"/>
            <w:vAlign w:val="center"/>
          </w:tcPr>
          <w:p>
            <w:pPr>
              <w:spacing w:line="240" w:lineRule="auto"/>
              <w:ind w:firstLine="0" w:firstLineChars="0"/>
              <w:jc w:val="left"/>
              <w:rPr>
                <w:rFonts w:cs="Times New Roman"/>
                <w:kern w:val="0"/>
                <w:sz w:val="21"/>
                <w:szCs w:val="24"/>
              </w:rPr>
            </w:pPr>
            <w:r>
              <w:rPr>
                <w:rFonts w:cs="Times New Roman"/>
                <w:kern w:val="0"/>
                <w:sz w:val="21"/>
                <w:szCs w:val="24"/>
              </w:rPr>
              <w:t>通过本项目实施，主要实现以下目标：</w:t>
            </w:r>
            <w:r>
              <w:rPr>
                <w:rFonts w:hint="eastAsia" w:ascii="Calibri" w:hAnsi="Calibri" w:cs="Times New Roman"/>
                <w:sz w:val="21"/>
                <w:szCs w:val="24"/>
              </w:rPr>
              <w:t>全面掌握水源地补给区和保护区范围内的地下水水质及地下水污染状况，识别对水源地存在污染或潜在污染的重要污染源（工业污染源、农业污染源、加油站等），补充和完善地下水环境监测体系，进一步查明重点污染区地下水污染物种类、主要来源、污染途径、染程程度和空间分布等，分析污染源与地下水污染之间的联系，判断地下水污染趋势和健康风险，为科学判定一亩泉水源地生态环境保护的薄弱点和关键环节、明确地下水污染防治目标以及推动地下水精准治污提供技术依据，切实保障饮用水水源地环境安全，为后续实施一亩泉水源地地下水重点污染源源头预防和管控修复工程、遏制水源污染提供基础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672" w:type="dxa"/>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绩</w:t>
            </w:r>
            <w:r>
              <w:rPr>
                <w:rFonts w:cs="Times New Roman"/>
                <w:kern w:val="0"/>
                <w:sz w:val="21"/>
                <w:szCs w:val="24"/>
              </w:rPr>
              <w:br w:type="textWrapping"/>
            </w:r>
            <w:r>
              <w:rPr>
                <w:rFonts w:cs="Times New Roman"/>
                <w:kern w:val="0"/>
                <w:sz w:val="21"/>
                <w:szCs w:val="24"/>
              </w:rPr>
              <w:t>效</w:t>
            </w:r>
            <w:r>
              <w:rPr>
                <w:rFonts w:cs="Times New Roman"/>
                <w:kern w:val="0"/>
                <w:sz w:val="21"/>
                <w:szCs w:val="24"/>
              </w:rPr>
              <w:br w:type="textWrapping"/>
            </w:r>
            <w:r>
              <w:rPr>
                <w:rFonts w:cs="Times New Roman"/>
                <w:kern w:val="0"/>
                <w:sz w:val="21"/>
                <w:szCs w:val="24"/>
              </w:rPr>
              <w:t>指</w:t>
            </w:r>
            <w:r>
              <w:rPr>
                <w:rFonts w:cs="Times New Roman"/>
                <w:kern w:val="0"/>
                <w:sz w:val="21"/>
                <w:szCs w:val="24"/>
              </w:rPr>
              <w:br w:type="textWrapping"/>
            </w:r>
            <w:r>
              <w:rPr>
                <w:rFonts w:cs="Times New Roman"/>
                <w:kern w:val="0"/>
                <w:sz w:val="21"/>
                <w:szCs w:val="24"/>
              </w:rPr>
              <w:t>标</w:t>
            </w:r>
          </w:p>
        </w:tc>
        <w:tc>
          <w:tcPr>
            <w:tcW w:w="672" w:type="dxa"/>
            <w:vAlign w:val="center"/>
          </w:tcPr>
          <w:p>
            <w:pPr>
              <w:spacing w:line="240" w:lineRule="auto"/>
              <w:ind w:firstLine="0" w:firstLineChars="0"/>
              <w:jc w:val="center"/>
              <w:rPr>
                <w:rFonts w:cs="Times New Roman"/>
                <w:kern w:val="0"/>
                <w:sz w:val="21"/>
                <w:szCs w:val="24"/>
              </w:rPr>
            </w:pPr>
            <w:r>
              <w:rPr>
                <w:rFonts w:cs="Times New Roman"/>
                <w:kern w:val="0"/>
                <w:sz w:val="21"/>
                <w:szCs w:val="24"/>
              </w:rPr>
              <w:t>一级</w:t>
            </w:r>
            <w:r>
              <w:rPr>
                <w:rFonts w:cs="Times New Roman"/>
                <w:kern w:val="0"/>
                <w:sz w:val="21"/>
                <w:szCs w:val="24"/>
              </w:rPr>
              <w:br w:type="textWrapping"/>
            </w:r>
            <w:r>
              <w:rPr>
                <w:rFonts w:cs="Times New Roman"/>
                <w:kern w:val="0"/>
                <w:sz w:val="21"/>
                <w:szCs w:val="24"/>
              </w:rPr>
              <w:t>指标</w:t>
            </w: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二级指标</w:t>
            </w:r>
          </w:p>
        </w:tc>
        <w:tc>
          <w:tcPr>
            <w:tcW w:w="244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三级指标</w:t>
            </w:r>
          </w:p>
        </w:tc>
        <w:tc>
          <w:tcPr>
            <w:tcW w:w="2956"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指标值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产</w:t>
            </w:r>
            <w:r>
              <w:rPr>
                <w:rFonts w:cs="Times New Roman"/>
                <w:kern w:val="0"/>
                <w:sz w:val="21"/>
                <w:szCs w:val="24"/>
              </w:rPr>
              <w:br w:type="textWrapping"/>
            </w:r>
            <w:r>
              <w:rPr>
                <w:rFonts w:cs="Times New Roman"/>
                <w:kern w:val="0"/>
                <w:sz w:val="21"/>
                <w:szCs w:val="24"/>
              </w:rPr>
              <w:t>出</w:t>
            </w:r>
            <w:r>
              <w:rPr>
                <w:rFonts w:cs="Times New Roman"/>
                <w:kern w:val="0"/>
                <w:sz w:val="21"/>
                <w:szCs w:val="24"/>
              </w:rPr>
              <w:br w:type="textWrapping"/>
            </w:r>
            <w:r>
              <w:rPr>
                <w:rFonts w:cs="Times New Roman"/>
                <w:kern w:val="0"/>
                <w:sz w:val="21"/>
                <w:szCs w:val="24"/>
              </w:rPr>
              <w:t>指</w:t>
            </w:r>
            <w:r>
              <w:rPr>
                <w:rFonts w:cs="Times New Roman"/>
                <w:kern w:val="0"/>
                <w:sz w:val="21"/>
                <w:szCs w:val="24"/>
              </w:rPr>
              <w:br w:type="textWrapping"/>
            </w:r>
            <w:r>
              <w:rPr>
                <w:rFonts w:cs="Times New Roman"/>
                <w:kern w:val="0"/>
                <w:sz w:val="21"/>
                <w:szCs w:val="24"/>
              </w:rPr>
              <w:t>标</w:t>
            </w:r>
          </w:p>
        </w:tc>
        <w:tc>
          <w:tcPr>
            <w:tcW w:w="1781" w:type="dxa"/>
            <w:gridSpan w:val="2"/>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数量指标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重点污染区地下水环境状况详查面积</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80km</w:t>
            </w:r>
            <w:r>
              <w:rPr>
                <w:rFonts w:hint="eastAsia" w:cs="Times New Roman"/>
                <w:kern w:val="0"/>
                <w:sz w:val="21"/>
                <w:szCs w:val="24"/>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left"/>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重点区域污染源解析</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34处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left"/>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地下水环境监测井</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63眼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bCs/>
                <w:sz w:val="21"/>
                <w:szCs w:val="24"/>
              </w:rPr>
            </w:pPr>
            <w:r>
              <w:rPr>
                <w:rFonts w:hint="eastAsia" w:cs="Times New Roman"/>
                <w:bCs/>
                <w:sz w:val="21"/>
                <w:szCs w:val="24"/>
              </w:rPr>
              <w:t>工程地质钻探进尺</w:t>
            </w:r>
          </w:p>
        </w:tc>
        <w:tc>
          <w:tcPr>
            <w:tcW w:w="2956" w:type="dxa"/>
            <w:gridSpan w:val="2"/>
            <w:vAlign w:val="center"/>
          </w:tcPr>
          <w:p>
            <w:pPr>
              <w:spacing w:line="240" w:lineRule="auto"/>
              <w:ind w:firstLine="420"/>
              <w:jc w:val="center"/>
              <w:rPr>
                <w:rFonts w:cs="Times New Roman"/>
                <w:bCs/>
                <w:kern w:val="0"/>
                <w:sz w:val="21"/>
                <w:szCs w:val="21"/>
              </w:rPr>
            </w:pPr>
            <w:r>
              <w:rPr>
                <w:rFonts w:hint="eastAsia" w:cs="Times New Roman"/>
                <w:bCs/>
                <w:kern w:val="0"/>
                <w:sz w:val="21"/>
                <w:szCs w:val="21"/>
              </w:rPr>
              <w:t>280m</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bCs/>
                <w:sz w:val="21"/>
                <w:szCs w:val="24"/>
              </w:rPr>
            </w:pPr>
            <w:r>
              <w:rPr>
                <w:rFonts w:hint="eastAsia" w:cs="Times New Roman"/>
                <w:bCs/>
                <w:sz w:val="21"/>
                <w:szCs w:val="24"/>
              </w:rPr>
              <w:t>区域地下水数值模型</w:t>
            </w:r>
          </w:p>
        </w:tc>
        <w:tc>
          <w:tcPr>
            <w:tcW w:w="2956" w:type="dxa"/>
            <w:gridSpan w:val="2"/>
            <w:vAlign w:val="center"/>
          </w:tcPr>
          <w:p>
            <w:pPr>
              <w:spacing w:line="240" w:lineRule="auto"/>
              <w:ind w:firstLine="420"/>
              <w:jc w:val="center"/>
              <w:rPr>
                <w:rFonts w:cs="Times New Roman"/>
                <w:bCs/>
                <w:kern w:val="0"/>
                <w:sz w:val="21"/>
                <w:szCs w:val="21"/>
              </w:rPr>
            </w:pPr>
            <w:r>
              <w:rPr>
                <w:rFonts w:hint="eastAsia" w:cs="Times New Roman"/>
                <w:bCs/>
                <w:kern w:val="0"/>
                <w:sz w:val="21"/>
                <w:szCs w:val="21"/>
              </w:rPr>
              <w:t>1个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bCs/>
                <w:sz w:val="21"/>
                <w:szCs w:val="24"/>
              </w:rPr>
            </w:pPr>
            <w:r>
              <w:rPr>
                <w:rFonts w:hint="eastAsia" w:cs="Times New Roman"/>
                <w:bCs/>
                <w:sz w:val="21"/>
                <w:szCs w:val="24"/>
              </w:rPr>
              <w:t>典型污染场地数值模型</w:t>
            </w:r>
          </w:p>
        </w:tc>
        <w:tc>
          <w:tcPr>
            <w:tcW w:w="2956" w:type="dxa"/>
            <w:gridSpan w:val="2"/>
            <w:vAlign w:val="center"/>
          </w:tcPr>
          <w:p>
            <w:pPr>
              <w:spacing w:line="240" w:lineRule="auto"/>
              <w:ind w:firstLine="420"/>
              <w:jc w:val="center"/>
              <w:rPr>
                <w:rFonts w:cs="Times New Roman"/>
                <w:bCs/>
                <w:kern w:val="0"/>
                <w:sz w:val="21"/>
                <w:szCs w:val="21"/>
              </w:rPr>
            </w:pPr>
            <w:r>
              <w:rPr>
                <w:rFonts w:hint="eastAsia" w:cs="Times New Roman"/>
                <w:bCs/>
                <w:kern w:val="0"/>
                <w:sz w:val="21"/>
                <w:szCs w:val="21"/>
              </w:rPr>
              <w:t>2个</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bCs/>
                <w:sz w:val="21"/>
                <w:szCs w:val="24"/>
              </w:rPr>
            </w:pPr>
            <w:r>
              <w:rPr>
                <w:rFonts w:hint="eastAsia" w:cs="Times New Roman"/>
                <w:bCs/>
                <w:sz w:val="21"/>
                <w:szCs w:val="24"/>
              </w:rPr>
              <w:t>成果报告</w:t>
            </w:r>
          </w:p>
        </w:tc>
        <w:tc>
          <w:tcPr>
            <w:tcW w:w="2956" w:type="dxa"/>
            <w:gridSpan w:val="2"/>
            <w:vAlign w:val="center"/>
          </w:tcPr>
          <w:p>
            <w:pPr>
              <w:spacing w:line="240" w:lineRule="auto"/>
              <w:ind w:firstLine="420"/>
              <w:jc w:val="center"/>
              <w:rPr>
                <w:rFonts w:cs="Times New Roman"/>
                <w:bCs/>
                <w:kern w:val="0"/>
                <w:sz w:val="21"/>
                <w:szCs w:val="21"/>
              </w:rPr>
            </w:pPr>
            <w:r>
              <w:rPr>
                <w:rFonts w:hint="eastAsia" w:cs="Times New Roman"/>
                <w:bCs/>
                <w:kern w:val="0"/>
                <w:sz w:val="21"/>
                <w:szCs w:val="21"/>
              </w:rPr>
              <w:t>1份</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bCs/>
                <w:sz w:val="21"/>
                <w:szCs w:val="24"/>
              </w:rPr>
            </w:pPr>
            <w:r>
              <w:rPr>
                <w:rFonts w:hint="eastAsia" w:cs="Times New Roman"/>
                <w:bCs/>
                <w:sz w:val="21"/>
                <w:szCs w:val="24"/>
              </w:rPr>
              <w:t>成果图件</w:t>
            </w:r>
          </w:p>
        </w:tc>
        <w:tc>
          <w:tcPr>
            <w:tcW w:w="2956" w:type="dxa"/>
            <w:gridSpan w:val="2"/>
            <w:vAlign w:val="center"/>
          </w:tcPr>
          <w:p>
            <w:pPr>
              <w:spacing w:line="240" w:lineRule="auto"/>
              <w:ind w:firstLine="420"/>
              <w:jc w:val="center"/>
              <w:rPr>
                <w:rFonts w:cs="Times New Roman"/>
                <w:bCs/>
                <w:kern w:val="0"/>
                <w:sz w:val="21"/>
                <w:szCs w:val="21"/>
              </w:rPr>
            </w:pPr>
            <w:r>
              <w:rPr>
                <w:rFonts w:hint="eastAsia" w:cs="Times New Roman"/>
                <w:bCs/>
                <w:kern w:val="0"/>
                <w:sz w:val="21"/>
                <w:szCs w:val="21"/>
              </w:rPr>
              <w:t>1套（不少于</w:t>
            </w:r>
            <w:r>
              <w:rPr>
                <w:rFonts w:cs="Times New Roman"/>
                <w:bCs/>
                <w:kern w:val="0"/>
                <w:sz w:val="21"/>
                <w:szCs w:val="21"/>
              </w:rPr>
              <w:t>5</w:t>
            </w:r>
            <w:r>
              <w:rPr>
                <w:rFonts w:hint="eastAsia" w:cs="Times New Roman"/>
                <w:bCs/>
                <w:kern w:val="0"/>
                <w:sz w:val="21"/>
                <w:szCs w:val="21"/>
              </w:rPr>
              <w:t>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bCs/>
                <w:sz w:val="21"/>
                <w:szCs w:val="24"/>
              </w:rPr>
            </w:pPr>
            <w:r>
              <w:rPr>
                <w:rFonts w:hint="eastAsia" w:cs="Times New Roman"/>
                <w:bCs/>
                <w:sz w:val="21"/>
                <w:szCs w:val="24"/>
              </w:rPr>
              <w:t>项目数据库（集）</w:t>
            </w:r>
          </w:p>
        </w:tc>
        <w:tc>
          <w:tcPr>
            <w:tcW w:w="2956" w:type="dxa"/>
            <w:gridSpan w:val="2"/>
            <w:vAlign w:val="center"/>
          </w:tcPr>
          <w:p>
            <w:pPr>
              <w:spacing w:line="240" w:lineRule="auto"/>
              <w:ind w:firstLine="420"/>
              <w:jc w:val="center"/>
              <w:rPr>
                <w:rFonts w:cs="Times New Roman"/>
                <w:bCs/>
                <w:kern w:val="0"/>
                <w:sz w:val="21"/>
                <w:szCs w:val="21"/>
              </w:rPr>
            </w:pPr>
            <w:r>
              <w:rPr>
                <w:rFonts w:hint="eastAsia" w:cs="Times New Roman"/>
                <w:bCs/>
                <w:kern w:val="0"/>
                <w:sz w:val="21"/>
                <w:szCs w:val="21"/>
              </w:rPr>
              <w:t>1套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质量指标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项目验收通过</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100%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时效指标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地下水环境监测井建设</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项目启动后6个月内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成果报告</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项目启动后24个月内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成本指标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项目总投入</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1480万元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2" w:hRule="atLeast"/>
          <w:jc w:val="center"/>
        </w:trPr>
        <w:tc>
          <w:tcPr>
            <w:tcW w:w="672" w:type="dxa"/>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绩</w:t>
            </w:r>
            <w:r>
              <w:rPr>
                <w:rFonts w:cs="Times New Roman"/>
                <w:kern w:val="0"/>
                <w:sz w:val="21"/>
                <w:szCs w:val="24"/>
              </w:rPr>
              <w:br w:type="textWrapping"/>
            </w:r>
            <w:r>
              <w:rPr>
                <w:rFonts w:cs="Times New Roman"/>
                <w:kern w:val="0"/>
                <w:sz w:val="21"/>
                <w:szCs w:val="24"/>
              </w:rPr>
              <w:t>效</w:t>
            </w:r>
            <w:r>
              <w:rPr>
                <w:rFonts w:cs="Times New Roman"/>
                <w:kern w:val="0"/>
                <w:sz w:val="21"/>
                <w:szCs w:val="24"/>
              </w:rPr>
              <w:br w:type="textWrapping"/>
            </w:r>
            <w:r>
              <w:rPr>
                <w:rFonts w:cs="Times New Roman"/>
                <w:kern w:val="0"/>
                <w:sz w:val="21"/>
                <w:szCs w:val="24"/>
              </w:rPr>
              <w:t>指</w:t>
            </w:r>
            <w:r>
              <w:rPr>
                <w:rFonts w:cs="Times New Roman"/>
                <w:kern w:val="0"/>
                <w:sz w:val="21"/>
                <w:szCs w:val="24"/>
              </w:rPr>
              <w:br w:type="textWrapping"/>
            </w:r>
            <w:r>
              <w:rPr>
                <w:rFonts w:cs="Times New Roman"/>
                <w:kern w:val="0"/>
                <w:sz w:val="21"/>
                <w:szCs w:val="24"/>
              </w:rPr>
              <w:t>标</w:t>
            </w:r>
          </w:p>
        </w:tc>
        <w:tc>
          <w:tcPr>
            <w:tcW w:w="672" w:type="dxa"/>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效</w:t>
            </w:r>
            <w:r>
              <w:rPr>
                <w:rFonts w:cs="Times New Roman"/>
                <w:kern w:val="0"/>
                <w:sz w:val="21"/>
                <w:szCs w:val="24"/>
              </w:rPr>
              <w:br w:type="textWrapping"/>
            </w:r>
            <w:r>
              <w:rPr>
                <w:rFonts w:cs="Times New Roman"/>
                <w:kern w:val="0"/>
                <w:sz w:val="21"/>
                <w:szCs w:val="24"/>
              </w:rPr>
              <w:t>益</w:t>
            </w:r>
            <w:r>
              <w:rPr>
                <w:rFonts w:cs="Times New Roman"/>
                <w:kern w:val="0"/>
                <w:sz w:val="21"/>
                <w:szCs w:val="24"/>
              </w:rPr>
              <w:br w:type="textWrapping"/>
            </w:r>
            <w:r>
              <w:rPr>
                <w:rFonts w:cs="Times New Roman"/>
                <w:kern w:val="0"/>
                <w:sz w:val="21"/>
                <w:szCs w:val="24"/>
              </w:rPr>
              <w:t>指</w:t>
            </w:r>
            <w:r>
              <w:rPr>
                <w:rFonts w:cs="Times New Roman"/>
                <w:kern w:val="0"/>
                <w:sz w:val="21"/>
                <w:szCs w:val="24"/>
              </w:rPr>
              <w:br w:type="textWrapping"/>
            </w:r>
            <w:r>
              <w:rPr>
                <w:rFonts w:cs="Times New Roman"/>
                <w:kern w:val="0"/>
                <w:sz w:val="21"/>
                <w:szCs w:val="24"/>
              </w:rPr>
              <w:t>标</w:t>
            </w: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经济效益</w:t>
            </w:r>
            <w:r>
              <w:rPr>
                <w:rFonts w:cs="Times New Roman"/>
                <w:kern w:val="0"/>
                <w:sz w:val="21"/>
                <w:szCs w:val="24"/>
              </w:rPr>
              <w:br w:type="textWrapping"/>
            </w:r>
            <w:r>
              <w:rPr>
                <w:rFonts w:cs="Times New Roman"/>
                <w:kern w:val="0"/>
                <w:sz w:val="21"/>
                <w:szCs w:val="24"/>
              </w:rPr>
              <w:t>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hAnsi="Calibri" w:cs="Times New Roman"/>
                <w:color w:val="000000"/>
                <w:kern w:val="0"/>
                <w:sz w:val="20"/>
                <w:szCs w:val="24"/>
              </w:rPr>
              <w:t>支撑水源地保护与污染修复</w:t>
            </w:r>
            <w:r>
              <w:rPr>
                <w:rFonts w:hAnsi="Calibri" w:cs="Times New Roman"/>
                <w:color w:val="000000"/>
                <w:kern w:val="0"/>
                <w:sz w:val="20"/>
                <w:szCs w:val="24"/>
              </w:rPr>
              <w:t>，</w:t>
            </w:r>
            <w:r>
              <w:rPr>
                <w:rFonts w:hint="eastAsia" w:hAnsi="Calibri" w:cs="Times New Roman"/>
                <w:color w:val="000000"/>
                <w:kern w:val="0"/>
                <w:sz w:val="20"/>
                <w:szCs w:val="24"/>
              </w:rPr>
              <w:t>使一亩泉水源地水质满足生活用水标准要求。</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查清一亩泉水源地保护区地下水环境污染特征及污染风险因子、污染源、污染途径，预测污染趋势，为水源修复治理和持续发挥后备水源地功能提供支撑。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社会效益</w:t>
            </w:r>
            <w:r>
              <w:rPr>
                <w:rFonts w:cs="Times New Roman"/>
                <w:kern w:val="0"/>
                <w:sz w:val="21"/>
                <w:szCs w:val="24"/>
              </w:rPr>
              <w:br w:type="textWrapping"/>
            </w:r>
            <w:r>
              <w:rPr>
                <w:rFonts w:cs="Times New Roman"/>
                <w:kern w:val="0"/>
                <w:sz w:val="21"/>
                <w:szCs w:val="24"/>
              </w:rPr>
              <w:t>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满足保定市城市居民供水安全需求，保障社会稳定</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ascii="Calibri" w:hAnsi="Calibri" w:cs="Times New Roman"/>
                <w:sz w:val="21"/>
                <w:szCs w:val="24"/>
              </w:rPr>
              <w:t>满足城市安全供水水质要，保障社会稳定。</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生态效益</w:t>
            </w:r>
            <w:r>
              <w:rPr>
                <w:rFonts w:cs="Times New Roman"/>
                <w:kern w:val="0"/>
                <w:sz w:val="21"/>
                <w:szCs w:val="24"/>
              </w:rPr>
              <w:br w:type="textWrapping"/>
            </w:r>
            <w:r>
              <w:rPr>
                <w:rFonts w:cs="Times New Roman"/>
                <w:kern w:val="0"/>
                <w:sz w:val="21"/>
                <w:szCs w:val="24"/>
              </w:rPr>
              <w:t>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一亩泉水源地地下水环境质量</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地下水环境质量得到持续改善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8"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restart"/>
            <w:vAlign w:val="center"/>
          </w:tcPr>
          <w:p>
            <w:pPr>
              <w:spacing w:line="240" w:lineRule="auto"/>
              <w:ind w:firstLine="0" w:firstLineChars="0"/>
              <w:jc w:val="center"/>
              <w:rPr>
                <w:rFonts w:cs="Times New Roman"/>
                <w:kern w:val="0"/>
                <w:sz w:val="21"/>
                <w:szCs w:val="24"/>
              </w:rPr>
            </w:pPr>
            <w:r>
              <w:rPr>
                <w:rFonts w:cs="Times New Roman"/>
                <w:kern w:val="0"/>
                <w:sz w:val="21"/>
                <w:szCs w:val="24"/>
              </w:rPr>
              <w:t>可持续影响</w:t>
            </w:r>
            <w:r>
              <w:rPr>
                <w:rFonts w:cs="Times New Roman"/>
                <w:kern w:val="0"/>
                <w:sz w:val="21"/>
                <w:szCs w:val="24"/>
              </w:rPr>
              <w:br w:type="textWrapping"/>
            </w:r>
            <w:r>
              <w:rPr>
                <w:rFonts w:cs="Times New Roman"/>
                <w:kern w:val="0"/>
                <w:sz w:val="21"/>
                <w:szCs w:val="24"/>
              </w:rPr>
              <w:t>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cs="Times New Roman"/>
                <w:kern w:val="0"/>
                <w:sz w:val="21"/>
                <w:szCs w:val="24"/>
              </w:rPr>
              <w:t>促进水源地地下水环境修复治理</w:t>
            </w:r>
          </w:p>
        </w:tc>
        <w:tc>
          <w:tcPr>
            <w:tcW w:w="2956" w:type="dxa"/>
            <w:gridSpan w:val="2"/>
            <w:vAlign w:val="center"/>
          </w:tcPr>
          <w:p>
            <w:pPr>
              <w:spacing w:line="240" w:lineRule="auto"/>
              <w:ind w:firstLine="0" w:firstLineChars="0"/>
              <w:jc w:val="center"/>
              <w:rPr>
                <w:rFonts w:cs="Times New Roman"/>
                <w:kern w:val="0"/>
                <w:sz w:val="21"/>
                <w:szCs w:val="24"/>
              </w:rPr>
            </w:pPr>
            <w:r>
              <w:rPr>
                <w:rFonts w:hint="eastAsia" w:ascii="Calibri" w:hAnsi="Calibri" w:cs="Times New Roman"/>
                <w:sz w:val="21"/>
                <w:szCs w:val="24"/>
              </w:rPr>
              <w:t>确定污染源及敏感点分布、地下水质量状况和地下水污染状况、污染羽分布特征，评估地下水健康风险，所获取成果将持续支撑水源地地下环境的保护与修复。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Merge w:val="continue"/>
            <w:vAlign w:val="center"/>
          </w:tcPr>
          <w:p>
            <w:pPr>
              <w:spacing w:line="240" w:lineRule="auto"/>
              <w:ind w:firstLine="0" w:firstLineChars="0"/>
              <w:jc w:val="left"/>
              <w:rPr>
                <w:rFonts w:cs="Times New Roman"/>
                <w:kern w:val="0"/>
                <w:sz w:val="21"/>
                <w:szCs w:val="24"/>
              </w:rPr>
            </w:pPr>
          </w:p>
        </w:tc>
        <w:tc>
          <w:tcPr>
            <w:tcW w:w="1781" w:type="dxa"/>
            <w:gridSpan w:val="2"/>
            <w:vMerge w:val="continue"/>
            <w:vAlign w:val="center"/>
          </w:tcPr>
          <w:p>
            <w:pPr>
              <w:spacing w:line="240" w:lineRule="auto"/>
              <w:ind w:firstLine="0" w:firstLineChars="0"/>
              <w:jc w:val="center"/>
              <w:rPr>
                <w:rFonts w:cs="Times New Roman"/>
                <w:kern w:val="0"/>
                <w:sz w:val="21"/>
                <w:szCs w:val="24"/>
              </w:rPr>
            </w:pPr>
          </w:p>
        </w:tc>
        <w:tc>
          <w:tcPr>
            <w:tcW w:w="244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项目持续发挥作用年限</w:t>
            </w:r>
          </w:p>
        </w:tc>
        <w:tc>
          <w:tcPr>
            <w:tcW w:w="2956" w:type="dxa"/>
            <w:gridSpan w:val="2"/>
            <w:vAlign w:val="center"/>
          </w:tcPr>
          <w:p>
            <w:pPr>
              <w:spacing w:line="240" w:lineRule="auto"/>
              <w:ind w:firstLine="0" w:firstLineChars="0"/>
              <w:jc w:val="center"/>
              <w:rPr>
                <w:rFonts w:ascii="Calibri" w:hAnsi="Calibri" w:cs="Times New Roman"/>
                <w:sz w:val="21"/>
                <w:szCs w:val="24"/>
              </w:rPr>
            </w:pPr>
            <w:r>
              <w:rPr>
                <w:rFonts w:hint="eastAsia" w:ascii="Calibri" w:hAnsi="Calibri" w:cs="Times New Roman"/>
                <w:sz w:val="21"/>
                <w:szCs w:val="24"/>
              </w:rPr>
              <w:t>20年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99" w:hRule="atLeast"/>
          <w:jc w:val="center"/>
        </w:trPr>
        <w:tc>
          <w:tcPr>
            <w:tcW w:w="672" w:type="dxa"/>
            <w:vMerge w:val="continue"/>
            <w:vAlign w:val="center"/>
          </w:tcPr>
          <w:p>
            <w:pPr>
              <w:spacing w:line="240" w:lineRule="auto"/>
              <w:ind w:firstLine="0" w:firstLineChars="0"/>
              <w:jc w:val="left"/>
              <w:rPr>
                <w:rFonts w:cs="Times New Roman"/>
                <w:kern w:val="0"/>
                <w:sz w:val="21"/>
                <w:szCs w:val="24"/>
              </w:rPr>
            </w:pPr>
          </w:p>
        </w:tc>
        <w:tc>
          <w:tcPr>
            <w:tcW w:w="672" w:type="dxa"/>
            <w:vAlign w:val="center"/>
          </w:tcPr>
          <w:p>
            <w:pPr>
              <w:spacing w:line="240" w:lineRule="auto"/>
              <w:ind w:firstLine="0" w:firstLineChars="0"/>
              <w:jc w:val="center"/>
              <w:rPr>
                <w:rFonts w:cs="Times New Roman"/>
                <w:kern w:val="0"/>
                <w:sz w:val="21"/>
                <w:szCs w:val="24"/>
              </w:rPr>
            </w:pPr>
            <w:r>
              <w:rPr>
                <w:rFonts w:cs="Times New Roman"/>
                <w:kern w:val="0"/>
                <w:sz w:val="21"/>
                <w:szCs w:val="24"/>
              </w:rPr>
              <w:t>满</w:t>
            </w:r>
          </w:p>
          <w:p>
            <w:pPr>
              <w:spacing w:line="240" w:lineRule="auto"/>
              <w:ind w:firstLine="0" w:firstLineChars="0"/>
              <w:jc w:val="center"/>
              <w:rPr>
                <w:rFonts w:cs="Times New Roman"/>
                <w:kern w:val="0"/>
                <w:sz w:val="21"/>
                <w:szCs w:val="24"/>
              </w:rPr>
            </w:pPr>
            <w:r>
              <w:rPr>
                <w:rFonts w:cs="Times New Roman"/>
                <w:kern w:val="0"/>
                <w:sz w:val="21"/>
                <w:szCs w:val="24"/>
              </w:rPr>
              <w:t>意</w:t>
            </w:r>
          </w:p>
          <w:p>
            <w:pPr>
              <w:spacing w:line="240" w:lineRule="auto"/>
              <w:ind w:firstLine="0" w:firstLineChars="0"/>
              <w:jc w:val="center"/>
              <w:rPr>
                <w:rFonts w:cs="Times New Roman"/>
                <w:kern w:val="0"/>
                <w:sz w:val="21"/>
                <w:szCs w:val="24"/>
              </w:rPr>
            </w:pPr>
            <w:r>
              <w:rPr>
                <w:rFonts w:cs="Times New Roman"/>
                <w:kern w:val="0"/>
                <w:sz w:val="21"/>
                <w:szCs w:val="24"/>
              </w:rPr>
              <w:t>度</w:t>
            </w:r>
          </w:p>
          <w:p>
            <w:pPr>
              <w:spacing w:line="240" w:lineRule="auto"/>
              <w:ind w:firstLine="0" w:firstLineChars="0"/>
              <w:jc w:val="center"/>
              <w:rPr>
                <w:rFonts w:cs="Times New Roman"/>
                <w:kern w:val="0"/>
                <w:sz w:val="21"/>
                <w:szCs w:val="24"/>
              </w:rPr>
            </w:pPr>
            <w:r>
              <w:rPr>
                <w:rFonts w:cs="Times New Roman"/>
                <w:kern w:val="0"/>
                <w:sz w:val="21"/>
                <w:szCs w:val="24"/>
              </w:rPr>
              <w:t>指</w:t>
            </w:r>
          </w:p>
          <w:p>
            <w:pPr>
              <w:spacing w:line="240" w:lineRule="auto"/>
              <w:ind w:firstLine="0" w:firstLineChars="0"/>
              <w:jc w:val="center"/>
              <w:rPr>
                <w:rFonts w:cs="Times New Roman"/>
                <w:kern w:val="0"/>
                <w:sz w:val="21"/>
                <w:szCs w:val="24"/>
              </w:rPr>
            </w:pPr>
            <w:r>
              <w:rPr>
                <w:rFonts w:cs="Times New Roman"/>
                <w:kern w:val="0"/>
                <w:sz w:val="21"/>
                <w:szCs w:val="24"/>
              </w:rPr>
              <w:t>标</w:t>
            </w:r>
          </w:p>
        </w:tc>
        <w:tc>
          <w:tcPr>
            <w:tcW w:w="1781"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服务对象</w:t>
            </w:r>
            <w:r>
              <w:rPr>
                <w:rFonts w:cs="Times New Roman"/>
                <w:kern w:val="0"/>
                <w:sz w:val="21"/>
                <w:szCs w:val="24"/>
              </w:rPr>
              <w:br w:type="textWrapping"/>
            </w:r>
            <w:r>
              <w:rPr>
                <w:rFonts w:cs="Times New Roman"/>
                <w:kern w:val="0"/>
                <w:sz w:val="21"/>
                <w:szCs w:val="24"/>
              </w:rPr>
              <w:t>满意度指标</w:t>
            </w:r>
          </w:p>
        </w:tc>
        <w:tc>
          <w:tcPr>
            <w:tcW w:w="2441" w:type="dxa"/>
            <w:gridSpan w:val="2"/>
            <w:vAlign w:val="center"/>
          </w:tcPr>
          <w:p>
            <w:pPr>
              <w:spacing w:line="240" w:lineRule="auto"/>
              <w:ind w:firstLine="0" w:firstLineChars="0"/>
              <w:jc w:val="center"/>
              <w:rPr>
                <w:rFonts w:cs="Times New Roman"/>
                <w:kern w:val="0"/>
                <w:sz w:val="21"/>
                <w:szCs w:val="24"/>
              </w:rPr>
            </w:pPr>
            <w:r>
              <w:rPr>
                <w:rFonts w:hint="eastAsia" w:hAnsi="Calibri" w:cs="Times New Roman"/>
                <w:color w:val="000000"/>
                <w:kern w:val="0"/>
                <w:sz w:val="20"/>
                <w:szCs w:val="24"/>
              </w:rPr>
              <w:t>成果使用单位对成果的满意度</w:t>
            </w:r>
          </w:p>
        </w:tc>
        <w:tc>
          <w:tcPr>
            <w:tcW w:w="2956" w:type="dxa"/>
            <w:gridSpan w:val="2"/>
            <w:vAlign w:val="center"/>
          </w:tcPr>
          <w:p>
            <w:pPr>
              <w:spacing w:line="240" w:lineRule="auto"/>
              <w:ind w:firstLine="0" w:firstLineChars="0"/>
              <w:jc w:val="center"/>
              <w:rPr>
                <w:rFonts w:cs="Times New Roman"/>
                <w:kern w:val="0"/>
                <w:sz w:val="21"/>
                <w:szCs w:val="24"/>
              </w:rPr>
            </w:pPr>
            <w:r>
              <w:rPr>
                <w:rFonts w:cs="Times New Roman"/>
                <w:kern w:val="0"/>
                <w:sz w:val="21"/>
                <w:szCs w:val="24"/>
              </w:rPr>
              <w:t>≥90%</w:t>
            </w:r>
          </w:p>
        </w:tc>
      </w:tr>
    </w:tbl>
    <w:p>
      <w:pPr>
        <w:ind w:left="560" w:firstLine="0" w:firstLineChars="0"/>
      </w:pPr>
    </w:p>
    <w:p>
      <w:pPr>
        <w:ind w:left="560" w:firstLine="0" w:firstLineChars="0"/>
      </w:pPr>
    </w:p>
    <w:p>
      <w:pPr>
        <w:ind w:left="560" w:firstLine="0" w:firstLineChars="0"/>
      </w:pPr>
    </w:p>
    <w:p>
      <w:pPr>
        <w:ind w:left="560" w:firstLine="0" w:firstLineChars="0"/>
      </w:pPr>
    </w:p>
    <w:sectPr>
      <w:pgSz w:w="11907" w:h="16839"/>
      <w:pgMar w:top="1440" w:right="1797" w:bottom="1440" w:left="1797"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560"/>
      </w:pPr>
      <w:r>
        <w:separator/>
      </w:r>
    </w:p>
  </w:endnote>
  <w:endnote w:type="continuationSeparator" w:id="1">
    <w:p>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A00002EF" w:usb1="4000207B" w:usb2="00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楷体_GB2312">
    <w:panose1 w:val="0201060903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CIDFont">
    <w:altName w:val="Times New Roman"/>
    <w:panose1 w:val="00000000000000000000"/>
    <w:charset w:val="00"/>
    <w:family w:val="auto"/>
    <w:pitch w:val="default"/>
    <w:sig w:usb0="00000000" w:usb1="00000000" w:usb2="00000000" w:usb3="00000000" w:csb0="00000000" w:csb1="00000000"/>
  </w:font>
  <w:font w:name="CIDFont+F2">
    <w:altName w:val="宋体"/>
    <w:panose1 w:val="00000000000000000000"/>
    <w:charset w:val="86"/>
    <w:family w:val="auto"/>
    <w:pitch w:val="default"/>
    <w:sig w:usb0="00000000" w:usb1="00000000" w:usb2="00000000" w:usb3="00000000" w:csb0="00040000" w:csb1="00000000"/>
  </w:font>
  <w:font w:name="方正小标宋_GBK">
    <w:altName w:val="微软雅黑"/>
    <w:panose1 w:val="00000000000000000000"/>
    <w:charset w:val="86"/>
    <w:family w:val="auto"/>
    <w:pitch w:val="default"/>
    <w:sig w:usb0="00000000" w:usb1="00000000" w:usb2="00000010" w:usb3="00000000" w:csb0="00040000" w:csb1="00000000"/>
  </w:font>
  <w:font w:name="MS PGothic">
    <w:panose1 w:val="020B0600070205080204"/>
    <w:charset w:val="80"/>
    <w:family w:val="auto"/>
    <w:pitch w:val="default"/>
    <w:sig w:usb0="E00002FF" w:usb1="6AC7FDFB" w:usb2="00000012" w:usb3="00000000" w:csb0="4002009F" w:csb1="DFD70000"/>
  </w:font>
  <w:font w:name="Arial Unicode MS">
    <w:panose1 w:val="020B0604020202020204"/>
    <w:charset w:val="86"/>
    <w:family w:val="auto"/>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0" w:firstLineChars="0"/>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55930" cy="248285"/>
              <wp:effectExtent l="0" t="0" r="0" b="0"/>
              <wp:wrapNone/>
              <wp:docPr id="12" name="文本框 1"/>
              <wp:cNvGraphicFramePr/>
              <a:graphic xmlns:a="http://schemas.openxmlformats.org/drawingml/2006/main">
                <a:graphicData uri="http://schemas.microsoft.com/office/word/2010/wordprocessingShape">
                  <wps:wsp>
                    <wps:cNvSpPr txBox="1"/>
                    <wps:spPr>
                      <a:xfrm>
                        <a:off x="0" y="0"/>
                        <a:ext cx="455930" cy="248285"/>
                      </a:xfrm>
                      <a:prstGeom prst="rect">
                        <a:avLst/>
                      </a:prstGeom>
                      <a:noFill/>
                      <a:ln>
                        <a:noFill/>
                      </a:ln>
                    </wps:spPr>
                    <wps:txbx>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lIns="0" tIns="0" rIns="0" bIns="0" upright="1"/>
                  </wps:wsp>
                </a:graphicData>
              </a:graphic>
            </wp:anchor>
          </w:drawing>
        </mc:Choice>
        <mc:Fallback>
          <w:pict>
            <v:shape id="文本框 1" o:spid="_x0000_s1026" o:spt="202" type="#_x0000_t202" style="position:absolute;left:0pt;margin-top:0pt;height:19.55pt;width:35.9pt;mso-position-horizontal:center;mso-position-horizontal-relative:margin;z-index:251659264;mso-width-relative:page;mso-height-relative:page;" filled="f" stroked="f" coordsize="21600,21600" o:gfxdata="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34gNT1AAAAAMBAAAPAAAAAAAAAAEAIAAAACIAAABkcnMvZG93bnJldi54bWxQSwECFAAUAAAA&#10;CACHTuJAlZzqYLkBAAByAwAADgAAAAAAAAABACAAAAAjAQAAZHJzL2Uyb0RvYy54bWxQSwUGAAAA&#10;AAYABgBZAQAATgUAAAAA&#10;">
              <v:fill on="f" focussize="0,0"/>
              <v:stroke on="f"/>
              <v:imagedata o:title=""/>
              <o:lock v:ext="edit" aspectratio="f"/>
              <v:textbox inset="0mm,0mm,0mm,0mm">
                <w:txbxContent>
                  <w:p>
                    <w:pPr>
                      <w:pStyle w:val="19"/>
                      <w:ind w:firstLine="360"/>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firstLine="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ind w:firstLine="360"/>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E1eNA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sTV40CwCAABXBAAADgAAAAAAAAABACAAAAAfAQAAZHJzL2Uyb0RvYy54bWxQSwUGAAAAAAYA&#10;BgBZAQAAvQUAAAAA&#10;">
              <v:fill on="f" focussize="0,0"/>
              <v:stroke on="f" weight="0.5pt"/>
              <v:imagedata o:title=""/>
              <o:lock v:ext="edit" aspectratio="f"/>
              <v:textbox inset="0mm,0mm,0mm,0mm" style="mso-fit-shape-to-text:t;">
                <w:txbxContent>
                  <w:p>
                    <w:pPr>
                      <w:pStyle w:val="19"/>
                      <w:ind w:firstLine="360"/>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560"/>
      </w:pPr>
      <w:r>
        <w:separator/>
      </w:r>
    </w:p>
  </w:footnote>
  <w:footnote w:type="continuationSeparator" w:id="1">
    <w:p>
      <w:pPr>
        <w:spacing w:line="36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4ECCC2"/>
    <w:multiLevelType w:val="singleLevel"/>
    <w:tmpl w:val="914ECCC2"/>
    <w:lvl w:ilvl="0" w:tentative="0">
      <w:start w:val="2"/>
      <w:numFmt w:val="decimal"/>
      <w:suff w:val="nothing"/>
      <w:lvlText w:val="（%1）"/>
      <w:lvlJc w:val="left"/>
    </w:lvl>
  </w:abstractNum>
  <w:abstractNum w:abstractNumId="1">
    <w:nsid w:val="96ED73AF"/>
    <w:multiLevelType w:val="singleLevel"/>
    <w:tmpl w:val="96ED73AF"/>
    <w:lvl w:ilvl="0" w:tentative="0">
      <w:start w:val="2"/>
      <w:numFmt w:val="decimal"/>
      <w:suff w:val="nothing"/>
      <w:lvlText w:val="（%1）"/>
      <w:lvlJc w:val="left"/>
    </w:lvl>
  </w:abstractNum>
  <w:abstractNum w:abstractNumId="2">
    <w:nsid w:val="B05876ED"/>
    <w:multiLevelType w:val="singleLevel"/>
    <w:tmpl w:val="B05876ED"/>
    <w:lvl w:ilvl="0" w:tentative="0">
      <w:start w:val="1"/>
      <w:numFmt w:val="decimal"/>
      <w:suff w:val="nothing"/>
      <w:lvlText w:val="（%1）"/>
      <w:lvlJc w:val="left"/>
    </w:lvl>
  </w:abstractNum>
  <w:abstractNum w:abstractNumId="3">
    <w:nsid w:val="B40561CE"/>
    <w:multiLevelType w:val="singleLevel"/>
    <w:tmpl w:val="B40561CE"/>
    <w:lvl w:ilvl="0" w:tentative="0">
      <w:start w:val="3"/>
      <w:numFmt w:val="decimal"/>
      <w:suff w:val="space"/>
      <w:lvlText w:val="(%1)"/>
      <w:lvlJc w:val="left"/>
    </w:lvl>
  </w:abstractNum>
  <w:abstractNum w:abstractNumId="4">
    <w:nsid w:val="6EBA9C2E"/>
    <w:multiLevelType w:val="singleLevel"/>
    <w:tmpl w:val="6EBA9C2E"/>
    <w:lvl w:ilvl="0" w:tentative="0">
      <w:start w:val="1"/>
      <w:numFmt w:val="decimal"/>
      <w:suff w:val="nothing"/>
      <w:lvlText w:val="（%1）"/>
      <w:lvlJc w:val="left"/>
    </w:lvl>
  </w:abstractNum>
  <w:abstractNum w:abstractNumId="5">
    <w:nsid w:val="6FC03B42"/>
    <w:multiLevelType w:val="singleLevel"/>
    <w:tmpl w:val="6FC03B42"/>
    <w:lvl w:ilvl="0" w:tentative="0">
      <w:start w:val="1"/>
      <w:numFmt w:val="decimal"/>
      <w:lvlText w:val="%1."/>
      <w:lvlJc w:val="left"/>
      <w:pPr>
        <w:tabs>
          <w:tab w:val="left" w:pos="312"/>
        </w:tabs>
      </w:pPr>
    </w:lvl>
  </w:abstractNum>
  <w:num w:numId="1">
    <w:abstractNumId w:val="2"/>
  </w:num>
  <w:num w:numId="2">
    <w:abstractNumId w:val="1"/>
  </w:num>
  <w:num w:numId="3">
    <w:abstractNumId w:val="0"/>
  </w:num>
  <w:num w:numId="4">
    <w:abstractNumId w:val="3"/>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HorizontalSpacing w:val="140"/>
  <w:drawingGridVerticalSpacing w:val="38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3NWZjNTI3MGJhYzRlMzlmMWY1YTI5MjBlMjRkNGQifQ=="/>
  </w:docVars>
  <w:rsids>
    <w:rsidRoot w:val="00172A27"/>
    <w:rsid w:val="00001CF6"/>
    <w:rsid w:val="00002E5C"/>
    <w:rsid w:val="00003226"/>
    <w:rsid w:val="00016998"/>
    <w:rsid w:val="0001793C"/>
    <w:rsid w:val="00020B38"/>
    <w:rsid w:val="00025714"/>
    <w:rsid w:val="0003585F"/>
    <w:rsid w:val="0003730A"/>
    <w:rsid w:val="000420C5"/>
    <w:rsid w:val="00044375"/>
    <w:rsid w:val="00047112"/>
    <w:rsid w:val="00061418"/>
    <w:rsid w:val="00063FB3"/>
    <w:rsid w:val="000641AE"/>
    <w:rsid w:val="00064206"/>
    <w:rsid w:val="0006548F"/>
    <w:rsid w:val="00071947"/>
    <w:rsid w:val="00071E6B"/>
    <w:rsid w:val="000726E6"/>
    <w:rsid w:val="000735D0"/>
    <w:rsid w:val="00073AC3"/>
    <w:rsid w:val="00083AB2"/>
    <w:rsid w:val="000900B0"/>
    <w:rsid w:val="00091C9B"/>
    <w:rsid w:val="00094C7C"/>
    <w:rsid w:val="000A41C8"/>
    <w:rsid w:val="000A583E"/>
    <w:rsid w:val="000A68FD"/>
    <w:rsid w:val="000A6E2F"/>
    <w:rsid w:val="000B07B8"/>
    <w:rsid w:val="000B0F3D"/>
    <w:rsid w:val="000B10C6"/>
    <w:rsid w:val="000B11E1"/>
    <w:rsid w:val="000C3E46"/>
    <w:rsid w:val="000D6CB5"/>
    <w:rsid w:val="000E73F6"/>
    <w:rsid w:val="000F3189"/>
    <w:rsid w:val="00100D4F"/>
    <w:rsid w:val="001033D8"/>
    <w:rsid w:val="001078DA"/>
    <w:rsid w:val="00107FA5"/>
    <w:rsid w:val="00110F31"/>
    <w:rsid w:val="001161B7"/>
    <w:rsid w:val="001163C6"/>
    <w:rsid w:val="00117798"/>
    <w:rsid w:val="00117A4D"/>
    <w:rsid w:val="0012110A"/>
    <w:rsid w:val="00126215"/>
    <w:rsid w:val="0013121F"/>
    <w:rsid w:val="00133074"/>
    <w:rsid w:val="00137910"/>
    <w:rsid w:val="00144676"/>
    <w:rsid w:val="00147020"/>
    <w:rsid w:val="00150472"/>
    <w:rsid w:val="001531D4"/>
    <w:rsid w:val="00153658"/>
    <w:rsid w:val="00160198"/>
    <w:rsid w:val="00161D8B"/>
    <w:rsid w:val="00162CD5"/>
    <w:rsid w:val="00165DD9"/>
    <w:rsid w:val="00166777"/>
    <w:rsid w:val="00171261"/>
    <w:rsid w:val="00172271"/>
    <w:rsid w:val="00172A27"/>
    <w:rsid w:val="00173786"/>
    <w:rsid w:val="00174CF6"/>
    <w:rsid w:val="00175F57"/>
    <w:rsid w:val="001768CB"/>
    <w:rsid w:val="00180505"/>
    <w:rsid w:val="001819E6"/>
    <w:rsid w:val="00181A63"/>
    <w:rsid w:val="001826D0"/>
    <w:rsid w:val="001916C6"/>
    <w:rsid w:val="00197E01"/>
    <w:rsid w:val="001A5AF5"/>
    <w:rsid w:val="001A5EF5"/>
    <w:rsid w:val="001B263C"/>
    <w:rsid w:val="001B3433"/>
    <w:rsid w:val="001B71B9"/>
    <w:rsid w:val="001C2406"/>
    <w:rsid w:val="001C327D"/>
    <w:rsid w:val="001C51B8"/>
    <w:rsid w:val="001D26AE"/>
    <w:rsid w:val="001D4608"/>
    <w:rsid w:val="001D7373"/>
    <w:rsid w:val="001D7640"/>
    <w:rsid w:val="001E2996"/>
    <w:rsid w:val="001E4798"/>
    <w:rsid w:val="001F2677"/>
    <w:rsid w:val="001F4C14"/>
    <w:rsid w:val="001F58B3"/>
    <w:rsid w:val="001F68E8"/>
    <w:rsid w:val="001F6B06"/>
    <w:rsid w:val="001F7909"/>
    <w:rsid w:val="001F7E1A"/>
    <w:rsid w:val="0020395F"/>
    <w:rsid w:val="00204883"/>
    <w:rsid w:val="00207059"/>
    <w:rsid w:val="002077FD"/>
    <w:rsid w:val="00207ED3"/>
    <w:rsid w:val="00210B88"/>
    <w:rsid w:val="002143F5"/>
    <w:rsid w:val="00214BFA"/>
    <w:rsid w:val="00217572"/>
    <w:rsid w:val="00217634"/>
    <w:rsid w:val="002215D5"/>
    <w:rsid w:val="00221E3B"/>
    <w:rsid w:val="00222D49"/>
    <w:rsid w:val="00223918"/>
    <w:rsid w:val="00227E12"/>
    <w:rsid w:val="00230144"/>
    <w:rsid w:val="00233ED9"/>
    <w:rsid w:val="00237272"/>
    <w:rsid w:val="0024106A"/>
    <w:rsid w:val="00241C71"/>
    <w:rsid w:val="002424FD"/>
    <w:rsid w:val="00243DA8"/>
    <w:rsid w:val="002458AC"/>
    <w:rsid w:val="00254DFE"/>
    <w:rsid w:val="00260B13"/>
    <w:rsid w:val="00267743"/>
    <w:rsid w:val="002705F4"/>
    <w:rsid w:val="0027089F"/>
    <w:rsid w:val="002750B5"/>
    <w:rsid w:val="00276380"/>
    <w:rsid w:val="0028019E"/>
    <w:rsid w:val="00290B6D"/>
    <w:rsid w:val="0029580E"/>
    <w:rsid w:val="002966F9"/>
    <w:rsid w:val="00297572"/>
    <w:rsid w:val="00297C43"/>
    <w:rsid w:val="00297DB6"/>
    <w:rsid w:val="002A0199"/>
    <w:rsid w:val="002A25A5"/>
    <w:rsid w:val="002A73E7"/>
    <w:rsid w:val="002B2889"/>
    <w:rsid w:val="002B4B1D"/>
    <w:rsid w:val="002B532F"/>
    <w:rsid w:val="002B5855"/>
    <w:rsid w:val="002B6610"/>
    <w:rsid w:val="002B7734"/>
    <w:rsid w:val="002C1770"/>
    <w:rsid w:val="002C4C41"/>
    <w:rsid w:val="002C5FB8"/>
    <w:rsid w:val="002C6000"/>
    <w:rsid w:val="002C6EC4"/>
    <w:rsid w:val="002C7E13"/>
    <w:rsid w:val="002E0849"/>
    <w:rsid w:val="002F037A"/>
    <w:rsid w:val="002F1314"/>
    <w:rsid w:val="002F4822"/>
    <w:rsid w:val="00301D4F"/>
    <w:rsid w:val="003020FD"/>
    <w:rsid w:val="00304A8F"/>
    <w:rsid w:val="00305A9F"/>
    <w:rsid w:val="00305F47"/>
    <w:rsid w:val="0030683F"/>
    <w:rsid w:val="003112A9"/>
    <w:rsid w:val="00311BE0"/>
    <w:rsid w:val="00320ACD"/>
    <w:rsid w:val="00321244"/>
    <w:rsid w:val="00322502"/>
    <w:rsid w:val="003227F8"/>
    <w:rsid w:val="0032552A"/>
    <w:rsid w:val="00325931"/>
    <w:rsid w:val="0032594A"/>
    <w:rsid w:val="00326B07"/>
    <w:rsid w:val="00330F98"/>
    <w:rsid w:val="003335DA"/>
    <w:rsid w:val="003339B4"/>
    <w:rsid w:val="003403AF"/>
    <w:rsid w:val="0034156E"/>
    <w:rsid w:val="003452D9"/>
    <w:rsid w:val="00346040"/>
    <w:rsid w:val="0034742E"/>
    <w:rsid w:val="00351B53"/>
    <w:rsid w:val="00351D2E"/>
    <w:rsid w:val="003568E2"/>
    <w:rsid w:val="00360D0D"/>
    <w:rsid w:val="00363DF1"/>
    <w:rsid w:val="0036417E"/>
    <w:rsid w:val="00364500"/>
    <w:rsid w:val="003659BD"/>
    <w:rsid w:val="00367FCE"/>
    <w:rsid w:val="00371587"/>
    <w:rsid w:val="003767F8"/>
    <w:rsid w:val="00377063"/>
    <w:rsid w:val="0038508B"/>
    <w:rsid w:val="0039309F"/>
    <w:rsid w:val="003A1F53"/>
    <w:rsid w:val="003B00A6"/>
    <w:rsid w:val="003B1B14"/>
    <w:rsid w:val="003B3842"/>
    <w:rsid w:val="003B5CC3"/>
    <w:rsid w:val="003C3396"/>
    <w:rsid w:val="003D23D9"/>
    <w:rsid w:val="003D62EB"/>
    <w:rsid w:val="003E1306"/>
    <w:rsid w:val="003E2CF0"/>
    <w:rsid w:val="003E2F6E"/>
    <w:rsid w:val="003E7DD9"/>
    <w:rsid w:val="003F050E"/>
    <w:rsid w:val="003F0E0E"/>
    <w:rsid w:val="003F656F"/>
    <w:rsid w:val="003F7A24"/>
    <w:rsid w:val="00402C7A"/>
    <w:rsid w:val="00406206"/>
    <w:rsid w:val="00410A7E"/>
    <w:rsid w:val="00421282"/>
    <w:rsid w:val="00421E3F"/>
    <w:rsid w:val="00424F87"/>
    <w:rsid w:val="0043069B"/>
    <w:rsid w:val="0043225F"/>
    <w:rsid w:val="00432E1C"/>
    <w:rsid w:val="0044164F"/>
    <w:rsid w:val="00442979"/>
    <w:rsid w:val="00474C37"/>
    <w:rsid w:val="004801E3"/>
    <w:rsid w:val="00480321"/>
    <w:rsid w:val="0048168E"/>
    <w:rsid w:val="00482A25"/>
    <w:rsid w:val="00483652"/>
    <w:rsid w:val="00486791"/>
    <w:rsid w:val="00490574"/>
    <w:rsid w:val="004911CE"/>
    <w:rsid w:val="004940B8"/>
    <w:rsid w:val="004A2449"/>
    <w:rsid w:val="004A52CF"/>
    <w:rsid w:val="004A6592"/>
    <w:rsid w:val="004B154A"/>
    <w:rsid w:val="004B1CD5"/>
    <w:rsid w:val="004B42D1"/>
    <w:rsid w:val="004B58C7"/>
    <w:rsid w:val="004B6050"/>
    <w:rsid w:val="004C08D5"/>
    <w:rsid w:val="004C33A8"/>
    <w:rsid w:val="004D053E"/>
    <w:rsid w:val="004D53E3"/>
    <w:rsid w:val="004E1672"/>
    <w:rsid w:val="004E386C"/>
    <w:rsid w:val="004E4138"/>
    <w:rsid w:val="004E5842"/>
    <w:rsid w:val="004E76D5"/>
    <w:rsid w:val="004E7F09"/>
    <w:rsid w:val="004F5952"/>
    <w:rsid w:val="00503B77"/>
    <w:rsid w:val="0050630C"/>
    <w:rsid w:val="0050640C"/>
    <w:rsid w:val="0050683E"/>
    <w:rsid w:val="00511310"/>
    <w:rsid w:val="0051223E"/>
    <w:rsid w:val="00513DBF"/>
    <w:rsid w:val="0051599C"/>
    <w:rsid w:val="005178F6"/>
    <w:rsid w:val="00520DEB"/>
    <w:rsid w:val="005222F2"/>
    <w:rsid w:val="00522938"/>
    <w:rsid w:val="00532222"/>
    <w:rsid w:val="00532226"/>
    <w:rsid w:val="00542E88"/>
    <w:rsid w:val="00553322"/>
    <w:rsid w:val="00553616"/>
    <w:rsid w:val="005559DE"/>
    <w:rsid w:val="00555A56"/>
    <w:rsid w:val="00570C26"/>
    <w:rsid w:val="005742F8"/>
    <w:rsid w:val="005744E6"/>
    <w:rsid w:val="00576CC9"/>
    <w:rsid w:val="0058156F"/>
    <w:rsid w:val="00582867"/>
    <w:rsid w:val="005A42F1"/>
    <w:rsid w:val="005A650B"/>
    <w:rsid w:val="005B2F4D"/>
    <w:rsid w:val="005B2FE0"/>
    <w:rsid w:val="005B406A"/>
    <w:rsid w:val="005B6AD2"/>
    <w:rsid w:val="005B7B35"/>
    <w:rsid w:val="005C44D8"/>
    <w:rsid w:val="005C5397"/>
    <w:rsid w:val="005D193E"/>
    <w:rsid w:val="005D3FB8"/>
    <w:rsid w:val="005D67FA"/>
    <w:rsid w:val="005D7AD7"/>
    <w:rsid w:val="005E144A"/>
    <w:rsid w:val="005E1658"/>
    <w:rsid w:val="005E6A23"/>
    <w:rsid w:val="005E6B72"/>
    <w:rsid w:val="005E7EA3"/>
    <w:rsid w:val="005F25E0"/>
    <w:rsid w:val="005F26BE"/>
    <w:rsid w:val="005F790C"/>
    <w:rsid w:val="006012D1"/>
    <w:rsid w:val="0060169E"/>
    <w:rsid w:val="00602B5D"/>
    <w:rsid w:val="0060500B"/>
    <w:rsid w:val="006050EF"/>
    <w:rsid w:val="00611A18"/>
    <w:rsid w:val="00612568"/>
    <w:rsid w:val="00612FE7"/>
    <w:rsid w:val="0061481A"/>
    <w:rsid w:val="00614B33"/>
    <w:rsid w:val="0061563C"/>
    <w:rsid w:val="0062206C"/>
    <w:rsid w:val="00625B26"/>
    <w:rsid w:val="00625C6D"/>
    <w:rsid w:val="00630F97"/>
    <w:rsid w:val="0063470C"/>
    <w:rsid w:val="00643D9B"/>
    <w:rsid w:val="006460A4"/>
    <w:rsid w:val="00647F6E"/>
    <w:rsid w:val="0065365E"/>
    <w:rsid w:val="00656131"/>
    <w:rsid w:val="00663B65"/>
    <w:rsid w:val="00664AD6"/>
    <w:rsid w:val="00666E1B"/>
    <w:rsid w:val="006712BF"/>
    <w:rsid w:val="00675594"/>
    <w:rsid w:val="006851D1"/>
    <w:rsid w:val="00691DAC"/>
    <w:rsid w:val="006958A5"/>
    <w:rsid w:val="0069598D"/>
    <w:rsid w:val="006A372E"/>
    <w:rsid w:val="006A397A"/>
    <w:rsid w:val="006A4841"/>
    <w:rsid w:val="006A5EDE"/>
    <w:rsid w:val="006B194F"/>
    <w:rsid w:val="006B3F76"/>
    <w:rsid w:val="006B4B13"/>
    <w:rsid w:val="006C135D"/>
    <w:rsid w:val="006C4933"/>
    <w:rsid w:val="006C619B"/>
    <w:rsid w:val="006D14BE"/>
    <w:rsid w:val="006D5591"/>
    <w:rsid w:val="006D7183"/>
    <w:rsid w:val="006E2DCA"/>
    <w:rsid w:val="006E4A21"/>
    <w:rsid w:val="006E6679"/>
    <w:rsid w:val="006F7CC4"/>
    <w:rsid w:val="007011D0"/>
    <w:rsid w:val="00702460"/>
    <w:rsid w:val="00703320"/>
    <w:rsid w:val="00707445"/>
    <w:rsid w:val="007074E4"/>
    <w:rsid w:val="007127CD"/>
    <w:rsid w:val="00713376"/>
    <w:rsid w:val="00727E80"/>
    <w:rsid w:val="00730319"/>
    <w:rsid w:val="00730F71"/>
    <w:rsid w:val="00733D72"/>
    <w:rsid w:val="00740B29"/>
    <w:rsid w:val="00740B6C"/>
    <w:rsid w:val="00743EE5"/>
    <w:rsid w:val="007449CB"/>
    <w:rsid w:val="00750E7C"/>
    <w:rsid w:val="00751AC2"/>
    <w:rsid w:val="0075516F"/>
    <w:rsid w:val="007609CB"/>
    <w:rsid w:val="00760F7E"/>
    <w:rsid w:val="00764B17"/>
    <w:rsid w:val="00765027"/>
    <w:rsid w:val="007667E8"/>
    <w:rsid w:val="0077012C"/>
    <w:rsid w:val="007723DD"/>
    <w:rsid w:val="007724A5"/>
    <w:rsid w:val="00780D3E"/>
    <w:rsid w:val="007815F9"/>
    <w:rsid w:val="00781653"/>
    <w:rsid w:val="0078483E"/>
    <w:rsid w:val="00785A5C"/>
    <w:rsid w:val="00786CA1"/>
    <w:rsid w:val="00790B6E"/>
    <w:rsid w:val="00791B41"/>
    <w:rsid w:val="00793F6E"/>
    <w:rsid w:val="00797E74"/>
    <w:rsid w:val="00797EB7"/>
    <w:rsid w:val="007A019A"/>
    <w:rsid w:val="007A0D00"/>
    <w:rsid w:val="007A328C"/>
    <w:rsid w:val="007B4318"/>
    <w:rsid w:val="007B616B"/>
    <w:rsid w:val="007B747A"/>
    <w:rsid w:val="007C0DF7"/>
    <w:rsid w:val="007C424B"/>
    <w:rsid w:val="007D1F75"/>
    <w:rsid w:val="007D556D"/>
    <w:rsid w:val="007E002A"/>
    <w:rsid w:val="007E2385"/>
    <w:rsid w:val="007E2F2B"/>
    <w:rsid w:val="007F0F73"/>
    <w:rsid w:val="007F10B3"/>
    <w:rsid w:val="007F2CDE"/>
    <w:rsid w:val="008024FF"/>
    <w:rsid w:val="0080267F"/>
    <w:rsid w:val="00803931"/>
    <w:rsid w:val="00807782"/>
    <w:rsid w:val="0081098D"/>
    <w:rsid w:val="00812DF1"/>
    <w:rsid w:val="00813E1A"/>
    <w:rsid w:val="00822669"/>
    <w:rsid w:val="008314C7"/>
    <w:rsid w:val="008320A4"/>
    <w:rsid w:val="008363DA"/>
    <w:rsid w:val="00837877"/>
    <w:rsid w:val="00842527"/>
    <w:rsid w:val="0084479E"/>
    <w:rsid w:val="008565E3"/>
    <w:rsid w:val="00871B97"/>
    <w:rsid w:val="00873947"/>
    <w:rsid w:val="00882216"/>
    <w:rsid w:val="008845A1"/>
    <w:rsid w:val="00885F2D"/>
    <w:rsid w:val="008903D6"/>
    <w:rsid w:val="0089603A"/>
    <w:rsid w:val="00897C22"/>
    <w:rsid w:val="008A2D7C"/>
    <w:rsid w:val="008A40AB"/>
    <w:rsid w:val="008A443A"/>
    <w:rsid w:val="008B2A08"/>
    <w:rsid w:val="008B4E1A"/>
    <w:rsid w:val="008B7740"/>
    <w:rsid w:val="008C79E1"/>
    <w:rsid w:val="008D0E6E"/>
    <w:rsid w:val="008D13ED"/>
    <w:rsid w:val="008D24E1"/>
    <w:rsid w:val="008D2CBB"/>
    <w:rsid w:val="008D7339"/>
    <w:rsid w:val="008E693E"/>
    <w:rsid w:val="008E69D5"/>
    <w:rsid w:val="008E74DE"/>
    <w:rsid w:val="008F3AA3"/>
    <w:rsid w:val="008F5973"/>
    <w:rsid w:val="008F79F4"/>
    <w:rsid w:val="009071EA"/>
    <w:rsid w:val="009157F7"/>
    <w:rsid w:val="009159E7"/>
    <w:rsid w:val="00925380"/>
    <w:rsid w:val="009258E5"/>
    <w:rsid w:val="00926911"/>
    <w:rsid w:val="00933027"/>
    <w:rsid w:val="00940E49"/>
    <w:rsid w:val="00941BB3"/>
    <w:rsid w:val="009546BF"/>
    <w:rsid w:val="00956C93"/>
    <w:rsid w:val="0096156D"/>
    <w:rsid w:val="009651A2"/>
    <w:rsid w:val="00966297"/>
    <w:rsid w:val="009667E3"/>
    <w:rsid w:val="00970C11"/>
    <w:rsid w:val="0097128B"/>
    <w:rsid w:val="00980BDC"/>
    <w:rsid w:val="009874D3"/>
    <w:rsid w:val="00987682"/>
    <w:rsid w:val="0099366F"/>
    <w:rsid w:val="009937DD"/>
    <w:rsid w:val="0099567E"/>
    <w:rsid w:val="009A049F"/>
    <w:rsid w:val="009A56F2"/>
    <w:rsid w:val="009A61CE"/>
    <w:rsid w:val="009A730C"/>
    <w:rsid w:val="009B1A5B"/>
    <w:rsid w:val="009B7BD2"/>
    <w:rsid w:val="009C090C"/>
    <w:rsid w:val="009C0D81"/>
    <w:rsid w:val="009C238E"/>
    <w:rsid w:val="009C2D11"/>
    <w:rsid w:val="009C5D8F"/>
    <w:rsid w:val="009C7A7E"/>
    <w:rsid w:val="009D19C3"/>
    <w:rsid w:val="009D3294"/>
    <w:rsid w:val="009D3FB5"/>
    <w:rsid w:val="009D6298"/>
    <w:rsid w:val="009D6499"/>
    <w:rsid w:val="009E1F73"/>
    <w:rsid w:val="009E5148"/>
    <w:rsid w:val="009E76EF"/>
    <w:rsid w:val="00A0719A"/>
    <w:rsid w:val="00A077E1"/>
    <w:rsid w:val="00A1453A"/>
    <w:rsid w:val="00A154B8"/>
    <w:rsid w:val="00A17BBE"/>
    <w:rsid w:val="00A21934"/>
    <w:rsid w:val="00A21CD4"/>
    <w:rsid w:val="00A2558F"/>
    <w:rsid w:val="00A32F46"/>
    <w:rsid w:val="00A36226"/>
    <w:rsid w:val="00A3759A"/>
    <w:rsid w:val="00A37FF9"/>
    <w:rsid w:val="00A47D2D"/>
    <w:rsid w:val="00A5022E"/>
    <w:rsid w:val="00A510A6"/>
    <w:rsid w:val="00A51739"/>
    <w:rsid w:val="00A52C8D"/>
    <w:rsid w:val="00A5363D"/>
    <w:rsid w:val="00A60400"/>
    <w:rsid w:val="00A64441"/>
    <w:rsid w:val="00A7221F"/>
    <w:rsid w:val="00A74467"/>
    <w:rsid w:val="00A75306"/>
    <w:rsid w:val="00A773D0"/>
    <w:rsid w:val="00A77D1E"/>
    <w:rsid w:val="00A80466"/>
    <w:rsid w:val="00A85226"/>
    <w:rsid w:val="00A90F05"/>
    <w:rsid w:val="00A95526"/>
    <w:rsid w:val="00A97FA5"/>
    <w:rsid w:val="00AA0BFD"/>
    <w:rsid w:val="00AA7261"/>
    <w:rsid w:val="00AB4C08"/>
    <w:rsid w:val="00AC33EA"/>
    <w:rsid w:val="00AC3DAC"/>
    <w:rsid w:val="00AC586C"/>
    <w:rsid w:val="00AC68F2"/>
    <w:rsid w:val="00AD003B"/>
    <w:rsid w:val="00AD0048"/>
    <w:rsid w:val="00AD0DC6"/>
    <w:rsid w:val="00AD66A2"/>
    <w:rsid w:val="00AE69C8"/>
    <w:rsid w:val="00AE6E45"/>
    <w:rsid w:val="00AF3ABB"/>
    <w:rsid w:val="00AF462F"/>
    <w:rsid w:val="00AF66CB"/>
    <w:rsid w:val="00B00669"/>
    <w:rsid w:val="00B035C4"/>
    <w:rsid w:val="00B10105"/>
    <w:rsid w:val="00B115F7"/>
    <w:rsid w:val="00B122B2"/>
    <w:rsid w:val="00B12B05"/>
    <w:rsid w:val="00B161A7"/>
    <w:rsid w:val="00B20391"/>
    <w:rsid w:val="00B228EA"/>
    <w:rsid w:val="00B249AF"/>
    <w:rsid w:val="00B2517B"/>
    <w:rsid w:val="00B2586B"/>
    <w:rsid w:val="00B27EF6"/>
    <w:rsid w:val="00B33493"/>
    <w:rsid w:val="00B335DD"/>
    <w:rsid w:val="00B34FAF"/>
    <w:rsid w:val="00B37F84"/>
    <w:rsid w:val="00B40CBB"/>
    <w:rsid w:val="00B4118B"/>
    <w:rsid w:val="00B41D8F"/>
    <w:rsid w:val="00B45F49"/>
    <w:rsid w:val="00B477ED"/>
    <w:rsid w:val="00B47E95"/>
    <w:rsid w:val="00B50A8C"/>
    <w:rsid w:val="00B51388"/>
    <w:rsid w:val="00B52391"/>
    <w:rsid w:val="00B5320F"/>
    <w:rsid w:val="00B559B8"/>
    <w:rsid w:val="00B61329"/>
    <w:rsid w:val="00B61F5D"/>
    <w:rsid w:val="00B662F7"/>
    <w:rsid w:val="00B7705F"/>
    <w:rsid w:val="00B85370"/>
    <w:rsid w:val="00B8676C"/>
    <w:rsid w:val="00B867BC"/>
    <w:rsid w:val="00B90349"/>
    <w:rsid w:val="00B90B53"/>
    <w:rsid w:val="00B92B52"/>
    <w:rsid w:val="00B95F1F"/>
    <w:rsid w:val="00BA2401"/>
    <w:rsid w:val="00BA3BC5"/>
    <w:rsid w:val="00BB4308"/>
    <w:rsid w:val="00BB4A42"/>
    <w:rsid w:val="00BB4A8A"/>
    <w:rsid w:val="00BC2874"/>
    <w:rsid w:val="00BD00DC"/>
    <w:rsid w:val="00BD2937"/>
    <w:rsid w:val="00BE347E"/>
    <w:rsid w:val="00BF3510"/>
    <w:rsid w:val="00BF3795"/>
    <w:rsid w:val="00BF37E8"/>
    <w:rsid w:val="00BF3FE0"/>
    <w:rsid w:val="00BF5A02"/>
    <w:rsid w:val="00BF5EEF"/>
    <w:rsid w:val="00C00767"/>
    <w:rsid w:val="00C0399D"/>
    <w:rsid w:val="00C062CF"/>
    <w:rsid w:val="00C12E32"/>
    <w:rsid w:val="00C13E3B"/>
    <w:rsid w:val="00C14F23"/>
    <w:rsid w:val="00C159F3"/>
    <w:rsid w:val="00C22367"/>
    <w:rsid w:val="00C249D1"/>
    <w:rsid w:val="00C31B62"/>
    <w:rsid w:val="00C33B5D"/>
    <w:rsid w:val="00C36361"/>
    <w:rsid w:val="00C37BED"/>
    <w:rsid w:val="00C4134F"/>
    <w:rsid w:val="00C43009"/>
    <w:rsid w:val="00C47923"/>
    <w:rsid w:val="00C53195"/>
    <w:rsid w:val="00C72868"/>
    <w:rsid w:val="00C82E0C"/>
    <w:rsid w:val="00C84B5C"/>
    <w:rsid w:val="00C87D70"/>
    <w:rsid w:val="00C935C7"/>
    <w:rsid w:val="00C948FF"/>
    <w:rsid w:val="00C97019"/>
    <w:rsid w:val="00CA3680"/>
    <w:rsid w:val="00CA4023"/>
    <w:rsid w:val="00CA44CD"/>
    <w:rsid w:val="00CB4799"/>
    <w:rsid w:val="00CC2060"/>
    <w:rsid w:val="00CC49DB"/>
    <w:rsid w:val="00CC4BD7"/>
    <w:rsid w:val="00CC5A13"/>
    <w:rsid w:val="00CC6015"/>
    <w:rsid w:val="00CC72D6"/>
    <w:rsid w:val="00CD22D0"/>
    <w:rsid w:val="00CD32FA"/>
    <w:rsid w:val="00CD3E7C"/>
    <w:rsid w:val="00CE515F"/>
    <w:rsid w:val="00CE5A4D"/>
    <w:rsid w:val="00CE7243"/>
    <w:rsid w:val="00CE781A"/>
    <w:rsid w:val="00D025E5"/>
    <w:rsid w:val="00D04683"/>
    <w:rsid w:val="00D0499C"/>
    <w:rsid w:val="00D05D33"/>
    <w:rsid w:val="00D114CD"/>
    <w:rsid w:val="00D1293E"/>
    <w:rsid w:val="00D157E8"/>
    <w:rsid w:val="00D255BA"/>
    <w:rsid w:val="00D32967"/>
    <w:rsid w:val="00D32EC4"/>
    <w:rsid w:val="00D35876"/>
    <w:rsid w:val="00D505DB"/>
    <w:rsid w:val="00D512CA"/>
    <w:rsid w:val="00D527ED"/>
    <w:rsid w:val="00D53725"/>
    <w:rsid w:val="00D5390D"/>
    <w:rsid w:val="00D5400E"/>
    <w:rsid w:val="00D55CF3"/>
    <w:rsid w:val="00D56002"/>
    <w:rsid w:val="00D63655"/>
    <w:rsid w:val="00D66C88"/>
    <w:rsid w:val="00D677E9"/>
    <w:rsid w:val="00D7014D"/>
    <w:rsid w:val="00D7226D"/>
    <w:rsid w:val="00D73270"/>
    <w:rsid w:val="00D75B36"/>
    <w:rsid w:val="00D76461"/>
    <w:rsid w:val="00D804ED"/>
    <w:rsid w:val="00D80E72"/>
    <w:rsid w:val="00D81884"/>
    <w:rsid w:val="00D81B8D"/>
    <w:rsid w:val="00D831B3"/>
    <w:rsid w:val="00D914F6"/>
    <w:rsid w:val="00D91583"/>
    <w:rsid w:val="00D935E2"/>
    <w:rsid w:val="00D93E11"/>
    <w:rsid w:val="00D95CBA"/>
    <w:rsid w:val="00D95D8D"/>
    <w:rsid w:val="00DA45DB"/>
    <w:rsid w:val="00DA6315"/>
    <w:rsid w:val="00DA6FD7"/>
    <w:rsid w:val="00DB0097"/>
    <w:rsid w:val="00DB2AA1"/>
    <w:rsid w:val="00DB3678"/>
    <w:rsid w:val="00DB5774"/>
    <w:rsid w:val="00DC1391"/>
    <w:rsid w:val="00DC697C"/>
    <w:rsid w:val="00DC757F"/>
    <w:rsid w:val="00DC78A9"/>
    <w:rsid w:val="00DD04DC"/>
    <w:rsid w:val="00DD3AF1"/>
    <w:rsid w:val="00DD3C3E"/>
    <w:rsid w:val="00DD48BA"/>
    <w:rsid w:val="00DD6FFB"/>
    <w:rsid w:val="00DE2907"/>
    <w:rsid w:val="00DE6DEC"/>
    <w:rsid w:val="00DF29B3"/>
    <w:rsid w:val="00DF3F7D"/>
    <w:rsid w:val="00DF737D"/>
    <w:rsid w:val="00E00B24"/>
    <w:rsid w:val="00E131E9"/>
    <w:rsid w:val="00E1377C"/>
    <w:rsid w:val="00E13DCD"/>
    <w:rsid w:val="00E22597"/>
    <w:rsid w:val="00E22F49"/>
    <w:rsid w:val="00E2402A"/>
    <w:rsid w:val="00E30454"/>
    <w:rsid w:val="00E34EB3"/>
    <w:rsid w:val="00E44B6F"/>
    <w:rsid w:val="00E45BDC"/>
    <w:rsid w:val="00E513E7"/>
    <w:rsid w:val="00E54EC4"/>
    <w:rsid w:val="00E55392"/>
    <w:rsid w:val="00E57197"/>
    <w:rsid w:val="00E573AB"/>
    <w:rsid w:val="00E60697"/>
    <w:rsid w:val="00E612F4"/>
    <w:rsid w:val="00E62029"/>
    <w:rsid w:val="00E62BCC"/>
    <w:rsid w:val="00E70CEF"/>
    <w:rsid w:val="00E712CF"/>
    <w:rsid w:val="00E72469"/>
    <w:rsid w:val="00E73985"/>
    <w:rsid w:val="00E76CB6"/>
    <w:rsid w:val="00E82002"/>
    <w:rsid w:val="00E83250"/>
    <w:rsid w:val="00E835E3"/>
    <w:rsid w:val="00E86559"/>
    <w:rsid w:val="00EA18FA"/>
    <w:rsid w:val="00EA4ADB"/>
    <w:rsid w:val="00EA7FD1"/>
    <w:rsid w:val="00EB2082"/>
    <w:rsid w:val="00EB23DD"/>
    <w:rsid w:val="00EB2793"/>
    <w:rsid w:val="00EB3A6C"/>
    <w:rsid w:val="00EC3619"/>
    <w:rsid w:val="00EC3A35"/>
    <w:rsid w:val="00EC4511"/>
    <w:rsid w:val="00EC459E"/>
    <w:rsid w:val="00EC6CC3"/>
    <w:rsid w:val="00ED04A9"/>
    <w:rsid w:val="00ED341A"/>
    <w:rsid w:val="00ED40F6"/>
    <w:rsid w:val="00ED5107"/>
    <w:rsid w:val="00EE49BA"/>
    <w:rsid w:val="00EE5A0D"/>
    <w:rsid w:val="00EE6726"/>
    <w:rsid w:val="00EF266F"/>
    <w:rsid w:val="00EF542C"/>
    <w:rsid w:val="00F03F33"/>
    <w:rsid w:val="00F04264"/>
    <w:rsid w:val="00F07FC9"/>
    <w:rsid w:val="00F10848"/>
    <w:rsid w:val="00F10881"/>
    <w:rsid w:val="00F10E5F"/>
    <w:rsid w:val="00F12D3E"/>
    <w:rsid w:val="00F16E20"/>
    <w:rsid w:val="00F20087"/>
    <w:rsid w:val="00F20C3D"/>
    <w:rsid w:val="00F21E17"/>
    <w:rsid w:val="00F3074E"/>
    <w:rsid w:val="00F32B64"/>
    <w:rsid w:val="00F33EE5"/>
    <w:rsid w:val="00F418BB"/>
    <w:rsid w:val="00F43C86"/>
    <w:rsid w:val="00F5094A"/>
    <w:rsid w:val="00F51DE9"/>
    <w:rsid w:val="00F5429C"/>
    <w:rsid w:val="00F67DB7"/>
    <w:rsid w:val="00F70605"/>
    <w:rsid w:val="00F72115"/>
    <w:rsid w:val="00F75268"/>
    <w:rsid w:val="00F755A3"/>
    <w:rsid w:val="00F811BC"/>
    <w:rsid w:val="00F81AB5"/>
    <w:rsid w:val="00F94280"/>
    <w:rsid w:val="00F951AE"/>
    <w:rsid w:val="00FA2C5D"/>
    <w:rsid w:val="00FA74BA"/>
    <w:rsid w:val="00FB163D"/>
    <w:rsid w:val="00FB41A6"/>
    <w:rsid w:val="00FB602F"/>
    <w:rsid w:val="00FD057E"/>
    <w:rsid w:val="00FD1853"/>
    <w:rsid w:val="00FD3B8D"/>
    <w:rsid w:val="00FE14C7"/>
    <w:rsid w:val="00FE26AB"/>
    <w:rsid w:val="00FE5463"/>
    <w:rsid w:val="00FF1A7B"/>
    <w:rsid w:val="00FF43FB"/>
    <w:rsid w:val="01F65250"/>
    <w:rsid w:val="024975C9"/>
    <w:rsid w:val="02583D52"/>
    <w:rsid w:val="02691984"/>
    <w:rsid w:val="0456012B"/>
    <w:rsid w:val="04B90BD8"/>
    <w:rsid w:val="0623177B"/>
    <w:rsid w:val="08196460"/>
    <w:rsid w:val="08B90112"/>
    <w:rsid w:val="08E74086"/>
    <w:rsid w:val="0A032E4F"/>
    <w:rsid w:val="0AA346BB"/>
    <w:rsid w:val="0D3619CE"/>
    <w:rsid w:val="0E291D63"/>
    <w:rsid w:val="0E6827A9"/>
    <w:rsid w:val="0EE00196"/>
    <w:rsid w:val="0F337917"/>
    <w:rsid w:val="0FD71C5D"/>
    <w:rsid w:val="111C6E80"/>
    <w:rsid w:val="120C07D8"/>
    <w:rsid w:val="134E0AF4"/>
    <w:rsid w:val="15483950"/>
    <w:rsid w:val="15C34BF0"/>
    <w:rsid w:val="16295800"/>
    <w:rsid w:val="1C1E43EF"/>
    <w:rsid w:val="1D74268A"/>
    <w:rsid w:val="1DF2157E"/>
    <w:rsid w:val="1E6D1059"/>
    <w:rsid w:val="1E7B0FB4"/>
    <w:rsid w:val="1F7A6D5F"/>
    <w:rsid w:val="1F997569"/>
    <w:rsid w:val="20F31683"/>
    <w:rsid w:val="217B2FF9"/>
    <w:rsid w:val="21DE339D"/>
    <w:rsid w:val="21E6121E"/>
    <w:rsid w:val="234269AB"/>
    <w:rsid w:val="235D393D"/>
    <w:rsid w:val="24A3267C"/>
    <w:rsid w:val="25B56CEE"/>
    <w:rsid w:val="26357089"/>
    <w:rsid w:val="28ED3EFD"/>
    <w:rsid w:val="29734590"/>
    <w:rsid w:val="2A6C34AE"/>
    <w:rsid w:val="2B930984"/>
    <w:rsid w:val="2D096883"/>
    <w:rsid w:val="2D360BFD"/>
    <w:rsid w:val="2E3E6952"/>
    <w:rsid w:val="2FAF1338"/>
    <w:rsid w:val="304A370A"/>
    <w:rsid w:val="32601BAD"/>
    <w:rsid w:val="3332449F"/>
    <w:rsid w:val="33CF518A"/>
    <w:rsid w:val="341D229C"/>
    <w:rsid w:val="34A45DE5"/>
    <w:rsid w:val="34E55863"/>
    <w:rsid w:val="36242A6C"/>
    <w:rsid w:val="36363350"/>
    <w:rsid w:val="36A43D21"/>
    <w:rsid w:val="38621C5A"/>
    <w:rsid w:val="3866133E"/>
    <w:rsid w:val="388F0682"/>
    <w:rsid w:val="394F0285"/>
    <w:rsid w:val="3B163750"/>
    <w:rsid w:val="3B677606"/>
    <w:rsid w:val="3BB93E68"/>
    <w:rsid w:val="3DC10C55"/>
    <w:rsid w:val="3F9132B2"/>
    <w:rsid w:val="416169B8"/>
    <w:rsid w:val="41BA3087"/>
    <w:rsid w:val="427E102E"/>
    <w:rsid w:val="43924CD2"/>
    <w:rsid w:val="460F0473"/>
    <w:rsid w:val="46675436"/>
    <w:rsid w:val="46730F5C"/>
    <w:rsid w:val="477E6E4D"/>
    <w:rsid w:val="47B016A5"/>
    <w:rsid w:val="48855240"/>
    <w:rsid w:val="49CB0595"/>
    <w:rsid w:val="49EA2E41"/>
    <w:rsid w:val="4A125791"/>
    <w:rsid w:val="4BD213CC"/>
    <w:rsid w:val="4E393586"/>
    <w:rsid w:val="4E8A3DE2"/>
    <w:rsid w:val="4E8A458B"/>
    <w:rsid w:val="4E9F773B"/>
    <w:rsid w:val="4F614525"/>
    <w:rsid w:val="4FE2731E"/>
    <w:rsid w:val="50152BA8"/>
    <w:rsid w:val="502D6126"/>
    <w:rsid w:val="506C6442"/>
    <w:rsid w:val="50A20CAF"/>
    <w:rsid w:val="51243F87"/>
    <w:rsid w:val="518E5CDE"/>
    <w:rsid w:val="51B74BF3"/>
    <w:rsid w:val="51CC4A27"/>
    <w:rsid w:val="52C67D4C"/>
    <w:rsid w:val="54D37224"/>
    <w:rsid w:val="55031E45"/>
    <w:rsid w:val="554421D3"/>
    <w:rsid w:val="570B49AC"/>
    <w:rsid w:val="571B5094"/>
    <w:rsid w:val="57AB79F3"/>
    <w:rsid w:val="580E2F69"/>
    <w:rsid w:val="5861048A"/>
    <w:rsid w:val="586E2031"/>
    <w:rsid w:val="58FD0805"/>
    <w:rsid w:val="59397D0E"/>
    <w:rsid w:val="5A4871B4"/>
    <w:rsid w:val="5AE14B3E"/>
    <w:rsid w:val="5B4E137B"/>
    <w:rsid w:val="5C15438C"/>
    <w:rsid w:val="5D0D4EA5"/>
    <w:rsid w:val="5D204739"/>
    <w:rsid w:val="5D8F19CB"/>
    <w:rsid w:val="5DC74DFA"/>
    <w:rsid w:val="5E0F3363"/>
    <w:rsid w:val="5F7E1DE6"/>
    <w:rsid w:val="60B5588F"/>
    <w:rsid w:val="60D8003C"/>
    <w:rsid w:val="611944A0"/>
    <w:rsid w:val="6128189E"/>
    <w:rsid w:val="636F5A41"/>
    <w:rsid w:val="66100C18"/>
    <w:rsid w:val="681B51A9"/>
    <w:rsid w:val="691A4A0A"/>
    <w:rsid w:val="693F0851"/>
    <w:rsid w:val="695D62F4"/>
    <w:rsid w:val="69B01621"/>
    <w:rsid w:val="69B05D54"/>
    <w:rsid w:val="69C44265"/>
    <w:rsid w:val="6A9F6A92"/>
    <w:rsid w:val="6AA9432E"/>
    <w:rsid w:val="6AC35E39"/>
    <w:rsid w:val="6B052029"/>
    <w:rsid w:val="6C18342F"/>
    <w:rsid w:val="6CC2270C"/>
    <w:rsid w:val="6E4F6BEE"/>
    <w:rsid w:val="6E57605E"/>
    <w:rsid w:val="6E9868E6"/>
    <w:rsid w:val="6EA36D5B"/>
    <w:rsid w:val="6F090D6A"/>
    <w:rsid w:val="6F091179"/>
    <w:rsid w:val="704A7F4F"/>
    <w:rsid w:val="7152422F"/>
    <w:rsid w:val="72212B0E"/>
    <w:rsid w:val="725463DE"/>
    <w:rsid w:val="72DB0776"/>
    <w:rsid w:val="735A5B2A"/>
    <w:rsid w:val="738214E5"/>
    <w:rsid w:val="74795C96"/>
    <w:rsid w:val="75212176"/>
    <w:rsid w:val="75CC15B5"/>
    <w:rsid w:val="7673743F"/>
    <w:rsid w:val="76E55A38"/>
    <w:rsid w:val="783359C5"/>
    <w:rsid w:val="789547A1"/>
    <w:rsid w:val="79F45DF6"/>
    <w:rsid w:val="7AA47018"/>
    <w:rsid w:val="7AD173B1"/>
    <w:rsid w:val="7AD420E8"/>
    <w:rsid w:val="7AD464E2"/>
    <w:rsid w:val="7AF7224C"/>
    <w:rsid w:val="7BA9149B"/>
    <w:rsid w:val="7C6853EC"/>
    <w:rsid w:val="7D3F2461"/>
    <w:rsid w:val="7DB00786"/>
    <w:rsid w:val="7DE95161"/>
    <w:rsid w:val="7EDA1A81"/>
    <w:rsid w:val="7EE345BF"/>
    <w:rsid w:val="7F10119E"/>
    <w:rsid w:val="7F670BE5"/>
    <w:rsid w:val="7FE5043F"/>
    <w:rsid w:val="7FE91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semiHidden="0" w:name="heading 4"/>
    <w:lsdException w:qFormat="1" w:uiPriority="9" w:semiHidden="0" w:name="heading 5"/>
    <w:lsdException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qFormat="1" w:unhideWhenUsed="0" w:uiPriority="0" w:semiHidden="0"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qFormat="1" w:unhideWhenUsed="0" w:uiPriority="0" w:semiHidden="0"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8"/>
      <w:szCs w:val="22"/>
      <w:lang w:val="en-US" w:eastAsia="zh-CN" w:bidi="ar-SA"/>
    </w:rPr>
  </w:style>
  <w:style w:type="paragraph" w:styleId="3">
    <w:name w:val="heading 1"/>
    <w:basedOn w:val="4"/>
    <w:next w:val="1"/>
    <w:link w:val="52"/>
    <w:qFormat/>
    <w:uiPriority w:val="0"/>
    <w:pPr>
      <w:keepNext/>
      <w:keepLines/>
      <w:spacing w:before="120" w:after="120"/>
    </w:pPr>
    <w:rPr>
      <w:rFonts w:eastAsia="宋体"/>
      <w:bCs w:val="0"/>
      <w:kern w:val="44"/>
      <w:sz w:val="32"/>
      <w:szCs w:val="44"/>
    </w:rPr>
  </w:style>
  <w:style w:type="paragraph" w:styleId="5">
    <w:name w:val="heading 2"/>
    <w:basedOn w:val="1"/>
    <w:next w:val="1"/>
    <w:link w:val="55"/>
    <w:unhideWhenUsed/>
    <w:qFormat/>
    <w:uiPriority w:val="0"/>
    <w:pPr>
      <w:keepNext/>
      <w:keepLines/>
      <w:spacing w:before="120" w:after="120"/>
      <w:jc w:val="left"/>
      <w:outlineLvl w:val="1"/>
    </w:pPr>
    <w:rPr>
      <w:rFonts w:cstheme="majorBidi"/>
      <w:sz w:val="30"/>
    </w:rPr>
  </w:style>
  <w:style w:type="paragraph" w:styleId="6">
    <w:name w:val="heading 3"/>
    <w:basedOn w:val="4"/>
    <w:next w:val="1"/>
    <w:link w:val="44"/>
    <w:unhideWhenUsed/>
    <w:qFormat/>
    <w:uiPriority w:val="9"/>
    <w:pPr>
      <w:keepNext/>
      <w:keepLines/>
      <w:ind w:firstLine="200" w:firstLineChars="200"/>
      <w:jc w:val="left"/>
      <w:outlineLvl w:val="2"/>
    </w:pPr>
    <w:rPr>
      <w:rFonts w:eastAsia="宋体" w:cs="Times New Roman"/>
      <w:bCs w:val="0"/>
      <w:sz w:val="28"/>
    </w:rPr>
  </w:style>
  <w:style w:type="paragraph" w:styleId="7">
    <w:name w:val="heading 4"/>
    <w:basedOn w:val="1"/>
    <w:next w:val="1"/>
    <w:link w:val="42"/>
    <w:unhideWhenUsed/>
    <w:qFormat/>
    <w:uiPriority w:val="0"/>
    <w:pPr>
      <w:keepNext/>
      <w:keepLines/>
      <w:spacing w:before="280" w:after="290" w:line="376" w:lineRule="auto"/>
      <w:outlineLvl w:val="3"/>
    </w:pPr>
    <w:rPr>
      <w:rFonts w:asciiTheme="majorHAnsi" w:hAnsiTheme="majorHAnsi" w:eastAsiaTheme="majorEastAsia" w:cstheme="majorBidi"/>
      <w:b/>
      <w:bCs/>
      <w:szCs w:val="28"/>
    </w:rPr>
  </w:style>
  <w:style w:type="paragraph" w:styleId="8">
    <w:name w:val="heading 5"/>
    <w:basedOn w:val="4"/>
    <w:next w:val="1"/>
    <w:link w:val="68"/>
    <w:unhideWhenUsed/>
    <w:qFormat/>
    <w:uiPriority w:val="9"/>
    <w:pPr>
      <w:keepNext/>
      <w:keepLines/>
      <w:spacing w:before="120" w:after="120"/>
      <w:ind w:firstLine="200" w:firstLineChars="200"/>
      <w:jc w:val="both"/>
      <w:outlineLvl w:val="4"/>
    </w:pPr>
    <w:rPr>
      <w:rFonts w:eastAsia="宋体"/>
      <w:bCs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2">
    <w:name w:val="table of authorities"/>
    <w:basedOn w:val="1"/>
    <w:next w:val="1"/>
    <w:qFormat/>
    <w:uiPriority w:val="0"/>
    <w:pPr>
      <w:spacing w:before="100" w:beforeAutospacing="1" w:after="100" w:afterAutospacing="1"/>
      <w:ind w:left="200" w:leftChars="200"/>
    </w:pPr>
  </w:style>
  <w:style w:type="paragraph" w:styleId="4">
    <w:name w:val="Title"/>
    <w:basedOn w:val="1"/>
    <w:next w:val="1"/>
    <w:link w:val="69"/>
    <w:qFormat/>
    <w:uiPriority w:val="0"/>
    <w:pPr>
      <w:ind w:firstLine="0" w:firstLineChars="0"/>
      <w:jc w:val="center"/>
      <w:outlineLvl w:val="0"/>
    </w:pPr>
    <w:rPr>
      <w:rFonts w:eastAsia="黑体"/>
      <w:b/>
      <w:bCs/>
      <w:kern w:val="0"/>
      <w:sz w:val="48"/>
      <w:szCs w:val="32"/>
    </w:rPr>
  </w:style>
  <w:style w:type="paragraph" w:styleId="9">
    <w:name w:val="toc 7"/>
    <w:basedOn w:val="1"/>
    <w:next w:val="1"/>
    <w:unhideWhenUsed/>
    <w:qFormat/>
    <w:uiPriority w:val="39"/>
    <w:pPr>
      <w:ind w:left="2520" w:leftChars="1200" w:firstLine="0" w:firstLineChars="0"/>
    </w:pPr>
    <w:rPr>
      <w:rFonts w:asciiTheme="minorHAnsi" w:hAnsiTheme="minorHAnsi" w:eastAsiaTheme="minorEastAsia"/>
      <w:sz w:val="21"/>
    </w:rPr>
  </w:style>
  <w:style w:type="paragraph" w:styleId="10">
    <w:name w:val="Document Map"/>
    <w:basedOn w:val="1"/>
    <w:link w:val="59"/>
    <w:semiHidden/>
    <w:unhideWhenUsed/>
    <w:qFormat/>
    <w:uiPriority w:val="99"/>
    <w:rPr>
      <w:rFonts w:ascii="宋体"/>
      <w:sz w:val="18"/>
      <w:szCs w:val="18"/>
    </w:rPr>
  </w:style>
  <w:style w:type="paragraph" w:styleId="11">
    <w:name w:val="annotation text"/>
    <w:basedOn w:val="1"/>
    <w:qFormat/>
    <w:uiPriority w:val="0"/>
    <w:pPr>
      <w:jc w:val="left"/>
    </w:pPr>
  </w:style>
  <w:style w:type="paragraph" w:styleId="12">
    <w:name w:val="Body Text"/>
    <w:basedOn w:val="1"/>
    <w:semiHidden/>
    <w:unhideWhenUsed/>
    <w:qFormat/>
    <w:uiPriority w:val="99"/>
    <w:pPr>
      <w:spacing w:after="120"/>
    </w:pPr>
  </w:style>
  <w:style w:type="paragraph" w:styleId="13">
    <w:name w:val="Body Text Indent"/>
    <w:basedOn w:val="1"/>
    <w:qFormat/>
    <w:uiPriority w:val="0"/>
    <w:pPr>
      <w:spacing w:after="120"/>
      <w:ind w:left="420" w:leftChars="200"/>
    </w:pPr>
    <w:rPr>
      <w:szCs w:val="24"/>
    </w:rPr>
  </w:style>
  <w:style w:type="paragraph" w:styleId="14">
    <w:name w:val="toc 5"/>
    <w:basedOn w:val="1"/>
    <w:next w:val="1"/>
    <w:unhideWhenUsed/>
    <w:qFormat/>
    <w:uiPriority w:val="39"/>
    <w:pPr>
      <w:ind w:left="1680" w:leftChars="800" w:firstLine="0" w:firstLineChars="0"/>
    </w:pPr>
    <w:rPr>
      <w:rFonts w:asciiTheme="minorHAnsi" w:hAnsiTheme="minorHAnsi" w:eastAsiaTheme="minorEastAsia"/>
      <w:sz w:val="21"/>
    </w:rPr>
  </w:style>
  <w:style w:type="paragraph" w:styleId="15">
    <w:name w:val="toc 3"/>
    <w:basedOn w:val="1"/>
    <w:next w:val="1"/>
    <w:unhideWhenUsed/>
    <w:qFormat/>
    <w:uiPriority w:val="39"/>
    <w:pPr>
      <w:ind w:left="840" w:leftChars="400"/>
    </w:pPr>
  </w:style>
  <w:style w:type="paragraph" w:styleId="16">
    <w:name w:val="toc 8"/>
    <w:basedOn w:val="1"/>
    <w:next w:val="1"/>
    <w:unhideWhenUsed/>
    <w:qFormat/>
    <w:uiPriority w:val="39"/>
    <w:pPr>
      <w:ind w:left="2940" w:leftChars="1400" w:firstLine="0" w:firstLineChars="0"/>
    </w:pPr>
    <w:rPr>
      <w:rFonts w:asciiTheme="minorHAnsi" w:hAnsiTheme="minorHAnsi" w:eastAsiaTheme="minorEastAsia"/>
      <w:sz w:val="21"/>
    </w:rPr>
  </w:style>
  <w:style w:type="paragraph" w:styleId="17">
    <w:name w:val="Date"/>
    <w:basedOn w:val="1"/>
    <w:next w:val="1"/>
    <w:link w:val="49"/>
    <w:semiHidden/>
    <w:unhideWhenUsed/>
    <w:qFormat/>
    <w:uiPriority w:val="99"/>
    <w:pPr>
      <w:ind w:left="100" w:leftChars="2500"/>
    </w:pPr>
  </w:style>
  <w:style w:type="paragraph" w:styleId="18">
    <w:name w:val="Balloon Text"/>
    <w:basedOn w:val="1"/>
    <w:link w:val="41"/>
    <w:semiHidden/>
    <w:unhideWhenUsed/>
    <w:qFormat/>
    <w:uiPriority w:val="99"/>
    <w:rPr>
      <w:sz w:val="18"/>
      <w:szCs w:val="18"/>
    </w:rPr>
  </w:style>
  <w:style w:type="paragraph" w:styleId="19">
    <w:name w:val="footer"/>
    <w:basedOn w:val="1"/>
    <w:link w:val="39"/>
    <w:unhideWhenUsed/>
    <w:qFormat/>
    <w:uiPriority w:val="99"/>
    <w:pPr>
      <w:tabs>
        <w:tab w:val="center" w:pos="4153"/>
        <w:tab w:val="right" w:pos="8306"/>
      </w:tabs>
      <w:snapToGrid w:val="0"/>
      <w:jc w:val="left"/>
    </w:pPr>
    <w:rPr>
      <w:sz w:val="18"/>
      <w:szCs w:val="18"/>
    </w:rPr>
  </w:style>
  <w:style w:type="paragraph" w:styleId="20">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unhideWhenUsed/>
    <w:qFormat/>
    <w:uiPriority w:val="39"/>
    <w:rPr>
      <w:rFonts w:cs="Times New Roman"/>
      <w:szCs w:val="24"/>
    </w:rPr>
  </w:style>
  <w:style w:type="paragraph" w:styleId="22">
    <w:name w:val="toc 4"/>
    <w:basedOn w:val="1"/>
    <w:next w:val="1"/>
    <w:unhideWhenUsed/>
    <w:qFormat/>
    <w:uiPriority w:val="39"/>
    <w:pPr>
      <w:ind w:left="1260" w:leftChars="600" w:firstLine="0" w:firstLineChars="0"/>
    </w:pPr>
    <w:rPr>
      <w:rFonts w:asciiTheme="minorHAnsi" w:hAnsiTheme="minorHAnsi" w:eastAsiaTheme="minorEastAsia"/>
      <w:sz w:val="21"/>
    </w:rPr>
  </w:style>
  <w:style w:type="paragraph" w:styleId="23">
    <w:name w:val="toc 6"/>
    <w:basedOn w:val="1"/>
    <w:next w:val="1"/>
    <w:unhideWhenUsed/>
    <w:qFormat/>
    <w:uiPriority w:val="39"/>
    <w:pPr>
      <w:ind w:left="2100" w:leftChars="1000" w:firstLine="0" w:firstLineChars="0"/>
    </w:pPr>
    <w:rPr>
      <w:rFonts w:asciiTheme="minorHAnsi" w:hAnsiTheme="minorHAnsi" w:eastAsiaTheme="minorEastAsia"/>
      <w:sz w:val="21"/>
    </w:rPr>
  </w:style>
  <w:style w:type="paragraph" w:styleId="24">
    <w:name w:val="table of figures"/>
    <w:basedOn w:val="1"/>
    <w:next w:val="1"/>
    <w:qFormat/>
    <w:uiPriority w:val="0"/>
    <w:pPr>
      <w:ind w:left="420" w:hanging="420"/>
      <w:jc w:val="left"/>
    </w:pPr>
    <w:rPr>
      <w:rFonts w:ascii="Calibri" w:hAnsi="Calibri" w:cs="Times New Roman"/>
      <w:smallCaps/>
      <w:sz w:val="20"/>
      <w:szCs w:val="20"/>
    </w:rPr>
  </w:style>
  <w:style w:type="paragraph" w:styleId="25">
    <w:name w:val="toc 2"/>
    <w:basedOn w:val="1"/>
    <w:next w:val="1"/>
    <w:unhideWhenUsed/>
    <w:qFormat/>
    <w:uiPriority w:val="39"/>
    <w:pPr>
      <w:ind w:left="420" w:leftChars="200"/>
    </w:pPr>
  </w:style>
  <w:style w:type="paragraph" w:styleId="26">
    <w:name w:val="toc 9"/>
    <w:basedOn w:val="1"/>
    <w:next w:val="1"/>
    <w:unhideWhenUsed/>
    <w:qFormat/>
    <w:uiPriority w:val="39"/>
    <w:pPr>
      <w:ind w:left="3360" w:leftChars="1600" w:firstLine="0" w:firstLineChars="0"/>
    </w:pPr>
    <w:rPr>
      <w:rFonts w:asciiTheme="minorHAnsi" w:hAnsiTheme="minorHAnsi" w:eastAsiaTheme="minorEastAsia"/>
      <w:sz w:val="21"/>
    </w:rPr>
  </w:style>
  <w:style w:type="paragraph" w:styleId="27">
    <w:name w:val="Normal (Web)"/>
    <w:basedOn w:val="1"/>
    <w:semiHidden/>
    <w:unhideWhenUsed/>
    <w:qFormat/>
    <w:uiPriority w:val="99"/>
    <w:pPr>
      <w:spacing w:beforeAutospacing="1" w:afterAutospacing="1"/>
      <w:jc w:val="left"/>
    </w:pPr>
    <w:rPr>
      <w:rFonts w:cs="Times New Roman"/>
      <w:kern w:val="0"/>
      <w:sz w:val="24"/>
    </w:rPr>
  </w:style>
  <w:style w:type="paragraph" w:styleId="28">
    <w:name w:val="Body Text First Indent"/>
    <w:basedOn w:val="12"/>
    <w:next w:val="29"/>
    <w:qFormat/>
    <w:uiPriority w:val="0"/>
    <w:pPr>
      <w:tabs>
        <w:tab w:val="left" w:pos="560"/>
        <w:tab w:val="left" w:pos="3920"/>
        <w:tab w:val="left" w:pos="5600"/>
        <w:tab w:val="left" w:pos="7700"/>
      </w:tabs>
      <w:spacing w:line="520" w:lineRule="exact"/>
      <w:ind w:firstLine="567"/>
      <w:textAlignment w:val="baseline"/>
    </w:pPr>
    <w:rPr>
      <w:rFonts w:ascii="Arial" w:hAnsi="Arial" w:eastAsia="仿宋_GB2312"/>
      <w:kern w:val="0"/>
    </w:rPr>
  </w:style>
  <w:style w:type="paragraph" w:styleId="29">
    <w:name w:val="Body Text First Indent 2"/>
    <w:basedOn w:val="13"/>
    <w:qFormat/>
    <w:uiPriority w:val="0"/>
    <w:pPr>
      <w:ind w:firstLine="420"/>
    </w:pPr>
    <w:rPr>
      <w:sz w:val="21"/>
    </w:r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rPr>
  </w:style>
  <w:style w:type="character" w:styleId="34">
    <w:name w:val="FollowedHyperlink"/>
    <w:unhideWhenUsed/>
    <w:qFormat/>
    <w:uiPriority w:val="99"/>
    <w:rPr>
      <w:color w:val="800080"/>
      <w:u w:val="single"/>
    </w:rPr>
  </w:style>
  <w:style w:type="character" w:styleId="35">
    <w:name w:val="Emphasis"/>
    <w:basedOn w:val="32"/>
    <w:qFormat/>
    <w:uiPriority w:val="20"/>
    <w:rPr>
      <w:i/>
    </w:rPr>
  </w:style>
  <w:style w:type="character" w:styleId="36">
    <w:name w:val="Hyperlink"/>
    <w:basedOn w:val="32"/>
    <w:unhideWhenUsed/>
    <w:qFormat/>
    <w:uiPriority w:val="99"/>
    <w:rPr>
      <w:color w:val="0000FF"/>
      <w:u w:val="single"/>
    </w:rPr>
  </w:style>
  <w:style w:type="paragraph" w:customStyle="1" w:styleId="37">
    <w:name w:val="正文格式"/>
    <w:basedOn w:val="1"/>
    <w:qFormat/>
    <w:uiPriority w:val="99"/>
    <w:pPr>
      <w:widowControl/>
      <w:adjustRightInd w:val="0"/>
      <w:snapToGrid w:val="0"/>
      <w:spacing w:line="400" w:lineRule="atLeast"/>
      <w:ind w:firstLine="482"/>
      <w:textAlignment w:val="baseline"/>
    </w:pPr>
    <w:rPr>
      <w:sz w:val="24"/>
    </w:rPr>
  </w:style>
  <w:style w:type="character" w:customStyle="1" w:styleId="38">
    <w:name w:val="页眉 字符1"/>
    <w:basedOn w:val="32"/>
    <w:link w:val="20"/>
    <w:qFormat/>
    <w:uiPriority w:val="99"/>
    <w:rPr>
      <w:sz w:val="18"/>
      <w:szCs w:val="18"/>
    </w:rPr>
  </w:style>
  <w:style w:type="character" w:customStyle="1" w:styleId="39">
    <w:name w:val="页脚 字符1"/>
    <w:basedOn w:val="32"/>
    <w:link w:val="19"/>
    <w:qFormat/>
    <w:uiPriority w:val="99"/>
    <w:rPr>
      <w:sz w:val="18"/>
      <w:szCs w:val="18"/>
    </w:rPr>
  </w:style>
  <w:style w:type="paragraph" w:styleId="40">
    <w:name w:val="List Paragraph"/>
    <w:basedOn w:val="1"/>
    <w:qFormat/>
    <w:uiPriority w:val="34"/>
    <w:pPr>
      <w:ind w:firstLine="420"/>
    </w:pPr>
  </w:style>
  <w:style w:type="character" w:customStyle="1" w:styleId="41">
    <w:name w:val="批注框文本 字符"/>
    <w:basedOn w:val="32"/>
    <w:link w:val="18"/>
    <w:semiHidden/>
    <w:qFormat/>
    <w:uiPriority w:val="99"/>
    <w:rPr>
      <w:sz w:val="18"/>
      <w:szCs w:val="18"/>
    </w:rPr>
  </w:style>
  <w:style w:type="character" w:customStyle="1" w:styleId="42">
    <w:name w:val="标题 4 字符"/>
    <w:basedOn w:val="32"/>
    <w:link w:val="7"/>
    <w:qFormat/>
    <w:uiPriority w:val="0"/>
    <w:rPr>
      <w:rFonts w:asciiTheme="majorHAnsi" w:hAnsiTheme="majorHAnsi" w:eastAsiaTheme="majorEastAsia" w:cstheme="majorBidi"/>
      <w:b/>
      <w:bCs/>
      <w:sz w:val="28"/>
      <w:szCs w:val="28"/>
    </w:rPr>
  </w:style>
  <w:style w:type="character" w:customStyle="1" w:styleId="43">
    <w:name w:val="show-img-bd"/>
    <w:basedOn w:val="32"/>
    <w:qFormat/>
    <w:uiPriority w:val="0"/>
  </w:style>
  <w:style w:type="character" w:customStyle="1" w:styleId="44">
    <w:name w:val="标题 3 字符"/>
    <w:basedOn w:val="32"/>
    <w:link w:val="6"/>
    <w:qFormat/>
    <w:uiPriority w:val="9"/>
    <w:rPr>
      <w:b/>
      <w:sz w:val="28"/>
      <w:szCs w:val="32"/>
    </w:rPr>
  </w:style>
  <w:style w:type="paragraph" w:customStyle="1" w:styleId="45">
    <w:name w:val="图题表题"/>
    <w:basedOn w:val="1"/>
    <w:link w:val="46"/>
    <w:qFormat/>
    <w:uiPriority w:val="0"/>
    <w:pPr>
      <w:jc w:val="center"/>
    </w:pPr>
    <w:rPr>
      <w:rFonts w:eastAsia="黑体"/>
    </w:rPr>
  </w:style>
  <w:style w:type="character" w:customStyle="1" w:styleId="46">
    <w:name w:val="图题表题 Char"/>
    <w:basedOn w:val="32"/>
    <w:link w:val="45"/>
    <w:qFormat/>
    <w:uiPriority w:val="0"/>
    <w:rPr>
      <w:rFonts w:ascii="Times New Roman" w:hAnsi="Times New Roman" w:eastAsia="黑体"/>
      <w:sz w:val="24"/>
    </w:rPr>
  </w:style>
  <w:style w:type="paragraph" w:customStyle="1" w:styleId="47">
    <w:name w:val="Default"/>
    <w:qFormat/>
    <w:uiPriority w:val="0"/>
    <w:pPr>
      <w:widowControl w:val="0"/>
      <w:autoSpaceDE w:val="0"/>
      <w:autoSpaceDN w:val="0"/>
      <w:adjustRightInd w:val="0"/>
    </w:pPr>
    <w:rPr>
      <w:rFonts w:ascii="宋体" w:eastAsia="宋体" w:cs="宋体" w:hAnsiTheme="minorHAnsi"/>
      <w:color w:val="000000"/>
      <w:sz w:val="24"/>
      <w:szCs w:val="24"/>
      <w:lang w:val="en-US" w:eastAsia="zh-CN" w:bidi="ar-SA"/>
    </w:rPr>
  </w:style>
  <w:style w:type="paragraph" w:customStyle="1" w:styleId="48">
    <w:name w:val="bwz"/>
    <w:basedOn w:val="1"/>
    <w:qFormat/>
    <w:uiPriority w:val="0"/>
    <w:pPr>
      <w:spacing w:line="240" w:lineRule="exact"/>
      <w:jc w:val="center"/>
    </w:pPr>
    <w:rPr>
      <w:rFonts w:cs="Times New Roman"/>
      <w:szCs w:val="21"/>
    </w:rPr>
  </w:style>
  <w:style w:type="character" w:customStyle="1" w:styleId="49">
    <w:name w:val="日期 字符"/>
    <w:basedOn w:val="32"/>
    <w:link w:val="17"/>
    <w:semiHidden/>
    <w:qFormat/>
    <w:uiPriority w:val="99"/>
  </w:style>
  <w:style w:type="character" w:customStyle="1" w:styleId="50">
    <w:name w:val="标题 2 字符1"/>
    <w:basedOn w:val="32"/>
    <w:qFormat/>
    <w:uiPriority w:val="0"/>
    <w:rPr>
      <w:rFonts w:cstheme="majorBidi"/>
      <w:b/>
      <w:sz w:val="30"/>
      <w:szCs w:val="32"/>
    </w:rPr>
  </w:style>
  <w:style w:type="table" w:customStyle="1" w:styleId="51">
    <w:name w:val="网格型1"/>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2">
    <w:name w:val="标题 1 字符"/>
    <w:basedOn w:val="32"/>
    <w:link w:val="3"/>
    <w:qFormat/>
    <w:uiPriority w:val="0"/>
    <w:rPr>
      <w:rFonts w:cstheme="minorBidi"/>
      <w:b/>
      <w:kern w:val="44"/>
      <w:sz w:val="32"/>
      <w:szCs w:val="44"/>
    </w:rPr>
  </w:style>
  <w:style w:type="paragraph" w:customStyle="1" w:styleId="53">
    <w:name w:val="TOC 标题1"/>
    <w:basedOn w:val="3"/>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color w:val="2E75B6" w:themeColor="accent1" w:themeShade="BF"/>
      <w:kern w:val="0"/>
      <w:szCs w:val="32"/>
    </w:rPr>
  </w:style>
  <w:style w:type="character" w:customStyle="1" w:styleId="54">
    <w:name w:val="页脚 字符"/>
    <w:qFormat/>
    <w:uiPriority w:val="99"/>
    <w:rPr>
      <w:kern w:val="2"/>
      <w:sz w:val="18"/>
      <w:szCs w:val="18"/>
    </w:rPr>
  </w:style>
  <w:style w:type="character" w:customStyle="1" w:styleId="55">
    <w:name w:val="标题 2 字符"/>
    <w:link w:val="5"/>
    <w:qFormat/>
    <w:uiPriority w:val="0"/>
    <w:rPr>
      <w:rFonts w:ascii="Arial" w:hAnsi="Arial" w:eastAsia="黑体"/>
      <w:b/>
      <w:sz w:val="32"/>
    </w:rPr>
  </w:style>
  <w:style w:type="character" w:customStyle="1" w:styleId="56">
    <w:name w:val="页眉 字符"/>
    <w:qFormat/>
    <w:uiPriority w:val="99"/>
    <w:rPr>
      <w:kern w:val="2"/>
      <w:sz w:val="18"/>
      <w:szCs w:val="18"/>
    </w:rPr>
  </w:style>
  <w:style w:type="character" w:customStyle="1" w:styleId="57">
    <w:name w:val="font21"/>
    <w:basedOn w:val="32"/>
    <w:qFormat/>
    <w:uiPriority w:val="0"/>
    <w:rPr>
      <w:rFonts w:hint="eastAsia" w:ascii="宋体" w:hAnsi="宋体" w:eastAsia="宋体" w:cs="宋体"/>
      <w:color w:val="000000"/>
      <w:sz w:val="18"/>
      <w:szCs w:val="18"/>
      <w:u w:val="none"/>
    </w:rPr>
  </w:style>
  <w:style w:type="paragraph" w:customStyle="1" w:styleId="58">
    <w:name w:val="WPSOffice手动目录 1"/>
    <w:qFormat/>
    <w:uiPriority w:val="0"/>
    <w:rPr>
      <w:rFonts w:ascii="Times New Roman" w:hAnsi="Times New Roman" w:eastAsia="宋体" w:cs="Times New Roman"/>
      <w:lang w:val="en-US" w:eastAsia="zh-CN" w:bidi="ar-SA"/>
    </w:rPr>
  </w:style>
  <w:style w:type="character" w:customStyle="1" w:styleId="59">
    <w:name w:val="文档结构图 字符"/>
    <w:basedOn w:val="32"/>
    <w:link w:val="10"/>
    <w:semiHidden/>
    <w:qFormat/>
    <w:uiPriority w:val="99"/>
    <w:rPr>
      <w:rFonts w:ascii="宋体" w:eastAsia="宋体"/>
      <w:sz w:val="18"/>
      <w:szCs w:val="18"/>
    </w:rPr>
  </w:style>
  <w:style w:type="paragraph" w:customStyle="1" w:styleId="60">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61">
    <w:name w:val="WPSOffice手动目录 3"/>
    <w:qFormat/>
    <w:uiPriority w:val="0"/>
    <w:pPr>
      <w:ind w:left="400" w:leftChars="400"/>
    </w:pPr>
    <w:rPr>
      <w:rFonts w:asciiTheme="minorHAnsi" w:hAnsiTheme="minorHAnsi" w:eastAsiaTheme="minorEastAsia" w:cstheme="minorBidi"/>
      <w:lang w:val="en-US" w:eastAsia="zh-CN" w:bidi="ar-SA"/>
    </w:rPr>
  </w:style>
  <w:style w:type="paragraph" w:customStyle="1" w:styleId="62">
    <w:name w:val="表头"/>
    <w:basedOn w:val="12"/>
    <w:qFormat/>
    <w:uiPriority w:val="0"/>
    <w:pPr>
      <w:spacing w:before="50" w:beforeLines="50" w:after="50" w:afterLines="50" w:line="240" w:lineRule="auto"/>
      <w:ind w:firstLine="0" w:firstLineChars="0"/>
      <w:jc w:val="center"/>
    </w:pPr>
    <w:rPr>
      <w:b/>
      <w:bCs/>
      <w:sz w:val="21"/>
      <w:szCs w:val="21"/>
    </w:rPr>
  </w:style>
  <w:style w:type="paragraph" w:customStyle="1" w:styleId="63">
    <w:name w:val="表格"/>
    <w:basedOn w:val="1"/>
    <w:link w:val="66"/>
    <w:qFormat/>
    <w:uiPriority w:val="0"/>
    <w:pPr>
      <w:spacing w:line="240" w:lineRule="auto"/>
      <w:ind w:firstLine="0" w:firstLineChars="0"/>
      <w:jc w:val="center"/>
    </w:pPr>
    <w:rPr>
      <w:rFonts w:cs="宋体"/>
      <w:color w:val="000000"/>
      <w:sz w:val="21"/>
    </w:rPr>
  </w:style>
  <w:style w:type="table" w:customStyle="1" w:styleId="64">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paragraph" w:customStyle="1" w:styleId="65">
    <w:name w:val="Table Paragraph"/>
    <w:basedOn w:val="1"/>
    <w:qFormat/>
    <w:uiPriority w:val="1"/>
    <w:rPr>
      <w:rFonts w:ascii="宋体" w:hAnsi="宋体" w:cs="宋体"/>
    </w:rPr>
  </w:style>
  <w:style w:type="character" w:customStyle="1" w:styleId="66">
    <w:name w:val="表格 字符"/>
    <w:basedOn w:val="32"/>
    <w:link w:val="63"/>
    <w:qFormat/>
    <w:uiPriority w:val="0"/>
    <w:rPr>
      <w:rFonts w:cs="宋体"/>
      <w:color w:val="000000"/>
      <w:kern w:val="2"/>
      <w:sz w:val="21"/>
      <w:szCs w:val="22"/>
    </w:rPr>
  </w:style>
  <w:style w:type="character" w:customStyle="1" w:styleId="67">
    <w:name w:val="未处理的提及1"/>
    <w:basedOn w:val="32"/>
    <w:semiHidden/>
    <w:unhideWhenUsed/>
    <w:qFormat/>
    <w:uiPriority w:val="99"/>
    <w:rPr>
      <w:color w:val="605E5C"/>
      <w:shd w:val="clear" w:color="auto" w:fill="E1DFDD"/>
    </w:rPr>
  </w:style>
  <w:style w:type="character" w:customStyle="1" w:styleId="68">
    <w:name w:val="标题 5 字符"/>
    <w:basedOn w:val="32"/>
    <w:link w:val="8"/>
    <w:qFormat/>
    <w:uiPriority w:val="9"/>
    <w:rPr>
      <w:rFonts w:cstheme="minorBidi"/>
      <w:b/>
      <w:sz w:val="28"/>
      <w:szCs w:val="28"/>
    </w:rPr>
  </w:style>
  <w:style w:type="character" w:customStyle="1" w:styleId="69">
    <w:name w:val="标题 字符"/>
    <w:basedOn w:val="32"/>
    <w:link w:val="4"/>
    <w:qFormat/>
    <w:uiPriority w:val="0"/>
    <w:rPr>
      <w:rFonts w:eastAsia="黑体" w:cstheme="minorBidi"/>
      <w:b/>
      <w:bCs/>
      <w:sz w:val="48"/>
      <w:szCs w:val="32"/>
    </w:rPr>
  </w:style>
  <w:style w:type="table" w:customStyle="1" w:styleId="70">
    <w:name w:val="网格型2"/>
    <w:basedOn w:val="30"/>
    <w:qFormat/>
    <w:uiPriority w:val="0"/>
    <w:pPr>
      <w:widowControl w:val="0"/>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71">
    <w:name w:val="font41"/>
    <w:basedOn w:val="32"/>
    <w:qFormat/>
    <w:uiPriority w:val="0"/>
    <w:rPr>
      <w:rFonts w:hint="default" w:ascii="Times New Roman" w:hAnsi="Times New Roman" w:cs="Times New Roman"/>
      <w:b/>
      <w:bCs/>
      <w:color w:val="000000"/>
      <w:sz w:val="21"/>
      <w:szCs w:val="21"/>
      <w:u w:val="none"/>
    </w:rPr>
  </w:style>
  <w:style w:type="character" w:customStyle="1" w:styleId="72">
    <w:name w:val="font51"/>
    <w:basedOn w:val="32"/>
    <w:qFormat/>
    <w:uiPriority w:val="0"/>
    <w:rPr>
      <w:rFonts w:hint="eastAsia" w:ascii="宋体" w:hAnsi="宋体" w:eastAsia="宋体" w:cs="宋体"/>
      <w:color w:val="000000"/>
      <w:sz w:val="21"/>
      <w:szCs w:val="21"/>
      <w:u w:val="none"/>
    </w:rPr>
  </w:style>
  <w:style w:type="character" w:customStyle="1" w:styleId="73">
    <w:name w:val="font81"/>
    <w:basedOn w:val="32"/>
    <w:qFormat/>
    <w:uiPriority w:val="0"/>
    <w:rPr>
      <w:rFonts w:hint="eastAsia" w:ascii="等线" w:hAnsi="等线" w:eastAsia="等线" w:cs="等线"/>
      <w:color w:val="000000"/>
      <w:sz w:val="21"/>
      <w:szCs w:val="21"/>
      <w:u w:val="none"/>
    </w:rPr>
  </w:style>
  <w:style w:type="character" w:customStyle="1" w:styleId="74">
    <w:name w:val="font61"/>
    <w:basedOn w:val="32"/>
    <w:qFormat/>
    <w:uiPriority w:val="0"/>
    <w:rPr>
      <w:rFonts w:hint="default" w:ascii="Times New Roman" w:hAnsi="Times New Roman" w:cs="Times New Roman"/>
      <w:color w:val="000000"/>
      <w:sz w:val="21"/>
      <w:szCs w:val="21"/>
      <w:u w:val="none"/>
    </w:rPr>
  </w:style>
  <w:style w:type="character" w:customStyle="1" w:styleId="75">
    <w:name w:val="font71"/>
    <w:basedOn w:val="32"/>
    <w:qFormat/>
    <w:uiPriority w:val="0"/>
    <w:rPr>
      <w:rFonts w:hint="eastAsia" w:ascii="宋体" w:hAnsi="宋体" w:eastAsia="宋体" w:cs="宋体"/>
      <w:color w:val="000000"/>
      <w:sz w:val="20"/>
      <w:szCs w:val="20"/>
      <w:u w:val="none"/>
    </w:rPr>
  </w:style>
  <w:style w:type="character" w:customStyle="1" w:styleId="76">
    <w:name w:val="font31"/>
    <w:basedOn w:val="32"/>
    <w:qFormat/>
    <w:uiPriority w:val="0"/>
    <w:rPr>
      <w:rFonts w:hint="eastAsia" w:ascii="宋体" w:hAnsi="宋体" w:eastAsia="宋体" w:cs="宋体"/>
      <w:color w:val="000000"/>
      <w:sz w:val="21"/>
      <w:szCs w:val="21"/>
      <w:u w:val="none"/>
    </w:rPr>
  </w:style>
  <w:style w:type="character" w:customStyle="1" w:styleId="77">
    <w:name w:val="font11"/>
    <w:basedOn w:val="32"/>
    <w:qFormat/>
    <w:uiPriority w:val="0"/>
    <w:rPr>
      <w:rFonts w:hint="default" w:ascii="Times New Roman" w:hAnsi="Times New Roman" w:cs="Times New Roman"/>
      <w:color w:val="000000"/>
      <w:sz w:val="21"/>
      <w:szCs w:val="21"/>
      <w:u w:val="none"/>
    </w:rPr>
  </w:style>
  <w:style w:type="character" w:customStyle="1" w:styleId="78">
    <w:name w:val="font01"/>
    <w:basedOn w:val="32"/>
    <w:qFormat/>
    <w:uiPriority w:val="0"/>
    <w:rPr>
      <w:rFonts w:hint="default" w:ascii="Times New Roman" w:hAnsi="Times New Roman" w:cs="Times New Roman"/>
      <w:color w:val="000000"/>
      <w:sz w:val="20"/>
      <w:szCs w:val="20"/>
      <w:u w:val="none"/>
    </w:rPr>
  </w:style>
  <w:style w:type="paragraph" w:customStyle="1" w:styleId="79">
    <w:name w:val="数据来源"/>
    <w:basedOn w:val="1"/>
    <w:qFormat/>
    <w:uiPriority w:val="0"/>
    <w:pPr>
      <w:snapToGrid w:val="0"/>
      <w:spacing w:beforeLines="50" w:line="280" w:lineRule="exact"/>
    </w:pPr>
    <w:rPr>
      <w:rFonts w:eastAsia="楷体_GB2312" w:cs="Times New Roman"/>
      <w:szCs w:val="20"/>
    </w:rPr>
  </w:style>
  <w:style w:type="paragraph" w:customStyle="1" w:styleId="80">
    <w:name w:val="Revision"/>
    <w:hidden/>
    <w:semiHidden/>
    <w:qFormat/>
    <w:uiPriority w:val="99"/>
    <w:rPr>
      <w:rFonts w:ascii="Times New Roman" w:hAnsi="Times New Roman" w:eastAsia="宋体" w:cstheme="minorBidi"/>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16.png"/><Relationship Id="rId36" Type="http://schemas.openxmlformats.org/officeDocument/2006/relationships/image" Target="media/image15.jpeg"/><Relationship Id="rId35" Type="http://schemas.openxmlformats.org/officeDocument/2006/relationships/image" Target="media/image14.jpeg"/><Relationship Id="rId34" Type="http://schemas.openxmlformats.org/officeDocument/2006/relationships/image" Target="../NULL"/><Relationship Id="rId33" Type="http://schemas.openxmlformats.org/officeDocument/2006/relationships/image" Target="media/image12.jpeg"/><Relationship Id="rId32" Type="http://schemas.openxmlformats.org/officeDocument/2006/relationships/image" Target="media/image11.png"/><Relationship Id="rId31" Type="http://schemas.openxmlformats.org/officeDocument/2006/relationships/image" Target="media/image10.pn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png"/><Relationship Id="rId26" Type="http://schemas.openxmlformats.org/officeDocument/2006/relationships/image" Target="media/image5.png"/><Relationship Id="rId25" Type="http://schemas.openxmlformats.org/officeDocument/2006/relationships/image" Target="media/image4.png"/><Relationship Id="rId24" Type="http://schemas.openxmlformats.org/officeDocument/2006/relationships/image" Target="media/image3.pn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E52358-5155-4DB4-B560-4F18DBC6D3CF}">
  <ds:schemaRefs/>
</ds:datastoreItem>
</file>

<file path=docProps/app.xml><?xml version="1.0" encoding="utf-8"?>
<Properties xmlns="http://schemas.openxmlformats.org/officeDocument/2006/extended-properties" xmlns:vt="http://schemas.openxmlformats.org/officeDocument/2006/docPropsVTypes">
  <Template>Normal</Template>
  <Pages>95</Pages>
  <Words>40385</Words>
  <Characters>46230</Characters>
  <Lines>362</Lines>
  <Paragraphs>102</Paragraphs>
  <TotalTime>109</TotalTime>
  <ScaleCrop>false</ScaleCrop>
  <LinksUpToDate>false</LinksUpToDate>
  <CharactersWithSpaces>46835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2022-10-30T18:46:00Z</dcterms:created>
  <dc:creator>洋 lenovo</dc:creator>
  <cp:lastModifiedBy>Administrator</cp:lastModifiedBy>
  <cp:lastPrinted>2022-01-15T03:06:00Z</cp:lastPrinted>
  <dcterms:modified xsi:type="dcterms:W3CDTF">2023-09-28T07:46:23Z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5EFF3E6E33824A2695F24B4FBB954CC8</vt:lpwstr>
  </property>
</Properties>
</file>