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仿宋_GB2312" w:hAnsi="微软雅黑" w:eastAsia="仿宋_GB2312" w:cs="仿宋_GB2312"/>
          <w:b w:val="0"/>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000000"/>
          <w:spacing w:val="0"/>
          <w:sz w:val="27"/>
          <w:szCs w:val="27"/>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保定市生态环境损害赔偿专家库管理办法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ascii="黑体" w:hAnsi="宋体" w:eastAsia="黑体" w:cs="黑体"/>
          <w:b w:val="0"/>
          <w:i w:val="0"/>
          <w:caps w:val="0"/>
          <w:color w:val="000000"/>
          <w:spacing w:val="0"/>
          <w:kern w:val="0"/>
          <w:sz w:val="32"/>
          <w:szCs w:val="32"/>
          <w:shd w:val="clear" w:fill="FFFFFF"/>
          <w:lang w:val="en-US" w:eastAsia="zh-CN" w:bidi="ar"/>
        </w:rPr>
        <w:t>第一条</w:t>
      </w:r>
      <w:r>
        <w:rPr>
          <w:rFonts w:ascii="仿宋" w:hAnsi="仿宋" w:eastAsia="仿宋" w:cs="仿宋"/>
          <w:b/>
          <w:i w:val="0"/>
          <w:caps w:val="0"/>
          <w:color w:val="000000"/>
          <w:spacing w:val="0"/>
          <w:kern w:val="0"/>
          <w:sz w:val="32"/>
          <w:szCs w:val="32"/>
          <w:shd w:val="clear" w:fill="FFFFFF"/>
          <w:lang w:val="en-US" w:eastAsia="zh-CN" w:bidi="ar"/>
        </w:rPr>
        <w:t> </w:t>
      </w:r>
      <w:r>
        <w:rPr>
          <w:rFonts w:hint="eastAsia" w:ascii="仿宋" w:hAnsi="仿宋" w:eastAsia="仿宋" w:cs="仿宋"/>
          <w:b/>
          <w:i w:val="0"/>
          <w:caps w:val="0"/>
          <w:color w:val="000000"/>
          <w:spacing w:val="0"/>
          <w:kern w:val="0"/>
          <w:sz w:val="32"/>
          <w:szCs w:val="32"/>
          <w:shd w:val="clear" w:fill="FFFFFF"/>
          <w:lang w:val="en-US" w:eastAsia="zh-CN" w:bidi="ar"/>
        </w:rPr>
        <w:t xml:space="preserve"> </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为规范生态环境损害赔偿专家库管理，加强生态环境损害赔偿工作专业技术支撑，提高生态环境损害赔偿案件办案质量，保障生态环境损害赔偿制度实施，</w:t>
      </w:r>
      <w:r>
        <w:rPr>
          <w:rFonts w:hint="eastAsia" w:ascii="仿宋_GB2312" w:hAnsi="微软雅黑" w:eastAsia="仿宋_GB2312" w:cs="仿宋_GB2312"/>
          <w:i w:val="0"/>
          <w:caps w:val="0"/>
          <w:color w:val="000000"/>
          <w:spacing w:val="0"/>
          <w:kern w:val="0"/>
          <w:sz w:val="32"/>
          <w:szCs w:val="32"/>
          <w:shd w:val="clear" w:fill="FFFFFF"/>
          <w:lang w:val="en-US" w:eastAsia="zh-CN" w:bidi="ar"/>
        </w:rPr>
        <w:t>根据《河北省生态环境损害赔偿制度改革实施方案》（冀办发〔2018〕39号）、《关于推进生态环境损害赔偿制度改革若干具体问题的意见》（环法规〔2020〕44号）和《保定市生态环境损害赔偿实施办法》（保生态损偿领办〔2022〕2号）的要求，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第二条</w:t>
      </w:r>
      <w:r>
        <w:rPr>
          <w:rFonts w:hint="eastAsia" w:ascii="仿宋" w:hAnsi="仿宋" w:eastAsia="仿宋" w:cs="仿宋"/>
          <w:b/>
          <w:i w:val="0"/>
          <w:caps w:val="0"/>
          <w:color w:val="000000"/>
          <w:spacing w:val="0"/>
          <w:kern w:val="0"/>
          <w:sz w:val="32"/>
          <w:szCs w:val="32"/>
          <w:shd w:val="clear" w:fill="FFFFFF"/>
          <w:lang w:val="en-US" w:eastAsia="zh-CN" w:bidi="ar"/>
        </w:rPr>
        <w:t xml:space="preserve">  </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本办法适用于保定市</w:t>
      </w:r>
      <w:r>
        <w:rPr>
          <w:rFonts w:hint="eastAsia" w:ascii="仿宋_GB2312" w:hAnsi="微软雅黑" w:eastAsia="仿宋_GB2312" w:cs="仿宋_GB2312"/>
          <w:i w:val="0"/>
          <w:caps w:val="0"/>
          <w:color w:val="000000"/>
          <w:spacing w:val="0"/>
          <w:kern w:val="0"/>
          <w:sz w:val="32"/>
          <w:szCs w:val="32"/>
          <w:shd w:val="clear" w:fill="FFFFFF"/>
          <w:lang w:val="en-US" w:eastAsia="zh-CN" w:bidi="ar"/>
        </w:rPr>
        <w:t>生态环境损害赔偿专家库</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（以下简称“专家库”）的</w:t>
      </w:r>
      <w:r>
        <w:rPr>
          <w:rFonts w:hint="eastAsia" w:ascii="仿宋_GB2312" w:hAnsi="微软雅黑" w:eastAsia="仿宋_GB2312" w:cs="仿宋_GB2312"/>
          <w:i w:val="0"/>
          <w:caps w:val="0"/>
          <w:color w:val="000000"/>
          <w:spacing w:val="0"/>
          <w:kern w:val="0"/>
          <w:sz w:val="32"/>
          <w:szCs w:val="32"/>
          <w:shd w:val="clear" w:fill="FFFFFF"/>
          <w:lang w:val="en-US" w:eastAsia="zh-CN" w:bidi="ar"/>
        </w:rPr>
        <w:t>建立、使用和管理等活动。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 xml:space="preserve">第三条 </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专家库遵循自愿、公开、透明的原则建立并实施动态管理。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 xml:space="preserve">第四条 </w:t>
      </w:r>
      <w:r>
        <w:rPr>
          <w:rFonts w:hint="eastAsia" w:asciiTheme="minorEastAsia" w:hAnsiTheme="minorEastAsia" w:eastAsiaTheme="minorEastAsia" w:cstheme="minorEastAsia"/>
          <w:b w:val="0"/>
          <w:bCs w:val="0"/>
          <w:i w:val="0"/>
          <w:caps w:val="0"/>
          <w:color w:val="000000"/>
          <w:spacing w:val="0"/>
          <w:kern w:val="0"/>
          <w:sz w:val="32"/>
          <w:szCs w:val="32"/>
          <w:shd w:val="clear" w:fill="FFFFFF"/>
          <w:lang w:val="en-US" w:eastAsia="zh-CN" w:bidi="ar"/>
        </w:rPr>
        <w:t>市生</w:t>
      </w:r>
      <w:r>
        <w:rPr>
          <w:rFonts w:hint="eastAsia" w:asciiTheme="minorEastAsia" w:hAnsiTheme="minorEastAsia" w:eastAsiaTheme="minorEastAsia" w:cstheme="minorEastAsia"/>
          <w:b w:val="0"/>
          <w:i w:val="0"/>
          <w:caps w:val="0"/>
          <w:color w:val="000000"/>
          <w:spacing w:val="0"/>
          <w:kern w:val="0"/>
          <w:sz w:val="32"/>
          <w:szCs w:val="32"/>
          <w:shd w:val="clear" w:fill="FFFFFF"/>
          <w:lang w:val="en-US" w:eastAsia="zh-CN" w:bidi="ar"/>
        </w:rPr>
        <w:t>态</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环境损害赔偿制度改革工作领导小组（以下简称“领导小组”）各成员单位共同建立专家库并对专家库专家进行管理。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市生态环境损害赔偿制度改革工作领导小组办公室（以下简称“领导小组办公室”）负责市</w:t>
      </w:r>
      <w:r>
        <w:rPr>
          <w:rFonts w:hint="eastAsia" w:ascii="仿宋_GB2312" w:hAnsi="微软雅黑" w:eastAsia="仿宋_GB2312" w:cs="仿宋_GB2312"/>
          <w:i w:val="0"/>
          <w:caps w:val="0"/>
          <w:color w:val="000000"/>
          <w:spacing w:val="0"/>
          <w:kern w:val="0"/>
          <w:sz w:val="32"/>
          <w:szCs w:val="32"/>
          <w:shd w:val="clear" w:fill="FFFFFF"/>
          <w:lang w:val="en-US" w:eastAsia="zh-CN" w:bidi="ar"/>
        </w:rPr>
        <w:t>生态环境损害赔偿专家库的建设和日常管理工作。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第五条</w:t>
      </w:r>
      <w:r>
        <w:rPr>
          <w:rFonts w:hint="eastAsia" w:ascii="仿宋" w:hAnsi="仿宋" w:eastAsia="仿宋" w:cs="仿宋"/>
          <w:b w:val="0"/>
          <w:i w:val="0"/>
          <w:caps w:val="0"/>
          <w:color w:val="000000"/>
          <w:spacing w:val="0"/>
          <w:kern w:val="0"/>
          <w:sz w:val="32"/>
          <w:szCs w:val="32"/>
          <w:shd w:val="clear" w:fill="FFFFFF"/>
          <w:lang w:val="en-US" w:eastAsia="zh-CN" w:bidi="ar"/>
        </w:rPr>
        <w:t>  专</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家库专家从环境损害司法鉴定、生态环境保护、环境风险评估、环境监测、污染治理、生态修复和法律等方面的专业人士中选取。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专家库专家人选采取个人申请和领导小组各成员单位推荐两种方式产生。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 xml:space="preserve">第六条 </w:t>
      </w:r>
      <w:r>
        <w:rPr>
          <w:rFonts w:hint="eastAsia" w:ascii="仿宋" w:hAnsi="仿宋" w:eastAsia="仿宋" w:cs="仿宋"/>
          <w:b/>
          <w:i w:val="0"/>
          <w:caps w:val="0"/>
          <w:color w:val="000000"/>
          <w:spacing w:val="0"/>
          <w:kern w:val="0"/>
          <w:sz w:val="32"/>
          <w:szCs w:val="32"/>
          <w:shd w:val="clear" w:fill="FFFFFF"/>
          <w:lang w:val="en-US" w:eastAsia="zh-CN" w:bidi="ar"/>
        </w:rPr>
        <w:t> </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入选专家库的专家应当</w:t>
      </w:r>
      <w:r>
        <w:rPr>
          <w:rFonts w:hint="eastAsia" w:ascii="仿宋_GB2312" w:hAnsi="微软雅黑" w:eastAsia="仿宋_GB2312" w:cs="仿宋_GB2312"/>
          <w:i w:val="0"/>
          <w:caps w:val="0"/>
          <w:color w:val="000000"/>
          <w:spacing w:val="0"/>
          <w:kern w:val="0"/>
          <w:sz w:val="32"/>
          <w:szCs w:val="32"/>
          <w:shd w:val="clear" w:fill="FFFFFF"/>
          <w:lang w:val="en-US" w:eastAsia="zh-CN" w:bidi="ar"/>
        </w:rPr>
        <w:t>具备以下基本条件：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（一）具备良好的政治素质和职业道德，能够认真、公正、诚实、廉洁履行职责；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（二）熟悉生态环境保护工作的有关法律、法规和政策，生态环境损害鉴定评估相关制度与技术规范；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（三）原则上具有副高级以上职称或同等专业水平，且从事相关专业领域工作3年及以上；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（四）年龄不超过65周岁，身体健康，能够承担相关工作；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（五）热心参与生态环境损害赔偿工作；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（六）无违法犯罪、违纪等不良信用记录。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 xml:space="preserve">第七条 </w:t>
      </w:r>
      <w:r>
        <w:rPr>
          <w:rFonts w:hint="eastAsia" w:ascii="仿宋" w:hAnsi="仿宋" w:eastAsia="仿宋" w:cs="仿宋"/>
          <w:b/>
          <w:i w:val="0"/>
          <w:caps w:val="0"/>
          <w:color w:val="000000"/>
          <w:spacing w:val="0"/>
          <w:kern w:val="0"/>
          <w:sz w:val="32"/>
          <w:szCs w:val="32"/>
          <w:shd w:val="clear" w:fill="FFFFFF"/>
          <w:lang w:val="en-US" w:eastAsia="zh-CN" w:bidi="ar"/>
        </w:rPr>
        <w:t> </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领导小组办公室征求领导小组各成员单位意见后向社会公开发布专家库专家征集公告。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 xml:space="preserve">第八条 </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专家个人提出入库申请的，应当如实填报申请资料，经所在单位或行业组织同意。领导小组各成员单位可以推荐入库专家。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申请资料包括申请表、承诺书和</w:t>
      </w:r>
      <w:r>
        <w:rPr>
          <w:rFonts w:hint="eastAsia" w:ascii="仿宋_GB2312" w:hAnsi="微软雅黑" w:eastAsia="仿宋_GB2312" w:cs="仿宋_GB2312"/>
          <w:i w:val="0"/>
          <w:caps w:val="0"/>
          <w:color w:val="000000"/>
          <w:spacing w:val="0"/>
          <w:kern w:val="0"/>
          <w:sz w:val="32"/>
          <w:szCs w:val="32"/>
          <w:shd w:val="clear" w:fill="FFFFFF"/>
          <w:lang w:val="en-US" w:eastAsia="zh-CN" w:bidi="ar"/>
        </w:rPr>
        <w:t>身份证、职称证明复印件及学术、专业成就等相关证明材料。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第九条 </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申请入库和推荐入库专家材料齐全的，由领导小组办公室向社会公示专家信息，公示时间不少于5个工作日。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第十条 </w:t>
      </w:r>
      <w:r>
        <w:rPr>
          <w:rFonts w:hint="eastAsia" w:ascii="仿宋_GB2312" w:hAnsi="微软雅黑" w:eastAsia="仿宋_GB2312" w:cs="仿宋_GB2312"/>
          <w:i w:val="0"/>
          <w:caps w:val="0"/>
          <w:color w:val="000000"/>
          <w:spacing w:val="0"/>
          <w:kern w:val="0"/>
          <w:sz w:val="32"/>
          <w:szCs w:val="32"/>
          <w:shd w:val="clear" w:fill="FFFFFF"/>
          <w:lang w:val="en-US" w:eastAsia="zh-CN" w:bidi="ar"/>
        </w:rPr>
        <w:t>公示期满后，</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领导小组办公室形成拟入库专家名单，公示期间专家被提出异议的暂不入库。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领导小组办公室对拟入库专家名单经征求领导小组各成员单位意见后形成入库专家清单</w:t>
      </w:r>
      <w:r>
        <w:rPr>
          <w:rFonts w:hint="eastAsia" w:ascii="仿宋_GB2312" w:hAnsi="微软雅黑" w:eastAsia="仿宋_GB2312" w:cs="仿宋_GB2312"/>
          <w:i w:val="0"/>
          <w:caps w:val="0"/>
          <w:color w:val="000000"/>
          <w:spacing w:val="0"/>
          <w:kern w:val="0"/>
          <w:sz w:val="32"/>
          <w:szCs w:val="32"/>
          <w:shd w:val="clear" w:fill="FFFFFF"/>
          <w:lang w:val="en-US" w:eastAsia="zh-CN" w:bidi="ar"/>
        </w:rPr>
        <w:t>，并向社会予以公布。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第十一条</w:t>
      </w: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仿宋_GB2312" w:hAnsi="微软雅黑" w:eastAsia="仿宋_GB2312" w:cs="仿宋_GB2312"/>
          <w:i w:val="0"/>
          <w:caps w:val="0"/>
          <w:color w:val="000000"/>
          <w:spacing w:val="0"/>
          <w:kern w:val="0"/>
          <w:sz w:val="32"/>
          <w:szCs w:val="32"/>
          <w:shd w:val="clear" w:fill="FFFFFF"/>
          <w:lang w:val="en-US" w:eastAsia="zh-CN" w:bidi="ar"/>
        </w:rPr>
        <w:t>领导小组办公室对专家库实施动态管理，按程序对专家库专家进行调整。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 xml:space="preserve">第十二条 </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领导小组各成员单位可以组织专家库专家开展生态环境损害赔偿问题研究、咨询论证、培训检查等活动，充分发挥专家在推进生态环境损害赔偿工作中的作用。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鼓励专家库专家参与生态环境损害赔偿政策研究、制度建设、案例分析、宣传培训等，为高质量推进生态环境损害赔偿工作提供技术支撑。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 xml:space="preserve">第十三条 </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专家库专家可以对损害事实简单、责任认定无争议、损害较小的案件出具专家意见，并可以为破坏生态环境和资源保护公益诉讼、涉嫌环境污染犯罪案件提供专业服务。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以委托专家评估方式为办理生态环境损害赔偿案件提供评估意见的，一般由不少于3名</w:t>
      </w:r>
      <w:r>
        <w:rPr>
          <w:rFonts w:hint="eastAsia" w:ascii="仿宋_GB2312" w:hAnsi="微软雅黑" w:eastAsia="仿宋_GB2312" w:cs="仿宋_GB2312"/>
          <w:i w:val="0"/>
          <w:caps w:val="0"/>
          <w:color w:val="000000"/>
          <w:spacing w:val="0"/>
          <w:kern w:val="0"/>
          <w:sz w:val="32"/>
          <w:szCs w:val="32"/>
          <w:shd w:val="clear" w:fill="FFFFFF"/>
          <w:lang w:val="en-US" w:eastAsia="zh-CN" w:bidi="ar"/>
        </w:rPr>
        <w:t>相应专业领域的专家组成专家组进行评估</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。专家和案件有利害关系可能影响出具公证性的，参照《中华人民共和国民事诉讼法》《中华人民共和国行政诉讼法》等法律有关鉴定人员回避的规定主动自行回避。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专家应当按照有关规定配合法庭询问。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第十四条</w:t>
      </w:r>
      <w:r>
        <w:rPr>
          <w:rFonts w:hint="eastAsia" w:ascii="黑体" w:hAnsi="宋体" w:eastAsia="黑体" w:cs="黑体"/>
          <w:i w:val="0"/>
          <w:caps w:val="0"/>
          <w:color w:val="000000"/>
          <w:spacing w:val="0"/>
          <w:kern w:val="0"/>
          <w:sz w:val="32"/>
          <w:szCs w:val="32"/>
          <w:shd w:val="clear" w:fill="FFFFFF"/>
          <w:lang w:val="en-US" w:eastAsia="zh-CN" w:bidi="ar"/>
        </w:rPr>
        <w:t> </w:t>
      </w:r>
      <w:r>
        <w:rPr>
          <w:rFonts w:hint="eastAsia" w:ascii="仿宋_GB2312" w:hAnsi="微软雅黑" w:eastAsia="仿宋_GB2312" w:cs="仿宋_GB2312"/>
          <w:i w:val="0"/>
          <w:caps w:val="0"/>
          <w:color w:val="000000"/>
          <w:spacing w:val="0"/>
          <w:kern w:val="0"/>
          <w:sz w:val="32"/>
          <w:szCs w:val="32"/>
          <w:shd w:val="clear" w:fill="FFFFFF"/>
          <w:lang w:val="en-US" w:eastAsia="zh-CN" w:bidi="ar"/>
        </w:rPr>
        <w:t>专家库专家应当恪守职业道德、遵守职业纪律，勤勉敬业、诚实守信、公平公正、廉洁自律，积极配合开展相关工作，依法依规提出专业性意见建议，并对提出的意见建议负责。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专家库专家在从事生态环境损害赔偿相关活动中可以获取劳务报酬。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 xml:space="preserve">第十五条 </w:t>
      </w: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仿宋_GB2312" w:hAnsi="微软雅黑" w:eastAsia="仿宋_GB2312" w:cs="仿宋_GB2312"/>
          <w:i w:val="0"/>
          <w:caps w:val="0"/>
          <w:color w:val="000000"/>
          <w:spacing w:val="0"/>
          <w:kern w:val="0"/>
          <w:sz w:val="32"/>
          <w:szCs w:val="32"/>
          <w:shd w:val="clear" w:fill="FFFFFF"/>
          <w:lang w:val="en-US" w:eastAsia="zh-CN" w:bidi="ar"/>
        </w:rPr>
        <w:t>领导小组成员单位发现专家库专家有下列情形之一的，及时向领导小组办公室报告，在调整专家库专家时予以除名：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（一）1年之内，被邀请但无正当理由不参加相关工作2次以上的；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（二）1年之内，无正当理由中途退出相关工作达2次以上的；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（三）提出的意见建议不符合相法律法规和政策要求，造成重大损失或者造成严重社会影响的；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（四）应当自行回避而不回避的；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（五）不按规定</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配合法庭询问的；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（六）因违法犯罪、违纪受处理的；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（七）其他违反法律法规规定或者有关要求的。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专家库专家可以自愿向领导小组办公室提出离库申请，由领导小组办公室在调整专家库专家时予以移除。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b w:val="0"/>
          <w:i w:val="0"/>
          <w:caps w:val="0"/>
          <w:color w:val="000000"/>
          <w:spacing w:val="0"/>
          <w:kern w:val="0"/>
          <w:sz w:val="32"/>
          <w:szCs w:val="32"/>
          <w:shd w:val="clear" w:fill="FFFFFF"/>
          <w:lang w:val="en-US" w:eastAsia="zh-CN" w:bidi="ar"/>
        </w:rPr>
        <w:t>第十六条</w:t>
      </w:r>
      <w:bookmarkStart w:id="0" w:name="_GoBack"/>
      <w:bookmarkEnd w:id="0"/>
      <w:r>
        <w:rPr>
          <w:rFonts w:hint="eastAsia" w:ascii="黑体" w:hAnsi="宋体" w:eastAsia="黑体" w:cs="黑体"/>
          <w:b w:val="0"/>
          <w:i w:val="0"/>
          <w:caps w:val="0"/>
          <w:color w:val="000000"/>
          <w:spacing w:val="0"/>
          <w:kern w:val="0"/>
          <w:sz w:val="32"/>
          <w:szCs w:val="32"/>
          <w:shd w:val="clear" w:fill="FFFFFF"/>
          <w:lang w:val="en-US" w:eastAsia="zh-CN" w:bidi="ar"/>
        </w:rPr>
        <w:t> </w:t>
      </w: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仿宋_GB2312" w:hAnsi="微软雅黑" w:eastAsia="仿宋_GB2312" w:cs="仿宋_GB2312"/>
          <w:i w:val="0"/>
          <w:caps w:val="0"/>
          <w:color w:val="000000"/>
          <w:spacing w:val="0"/>
          <w:kern w:val="0"/>
          <w:sz w:val="32"/>
          <w:szCs w:val="32"/>
          <w:shd w:val="clear" w:fill="FFFFFF"/>
          <w:lang w:val="en-US" w:eastAsia="zh-CN" w:bidi="ar"/>
        </w:rPr>
        <w:t>本办法自印发之日起施行，并由领导小组办公室负责解释。</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44"/>
          <w:szCs w:val="44"/>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84AA9"/>
    <w:multiLevelType w:val="multilevel"/>
    <w:tmpl w:val="3FF84AA9"/>
    <w:lvl w:ilvl="0" w:tentative="0">
      <w:start w:val="1"/>
      <w:numFmt w:val="chineseCountingThousand"/>
      <w:suff w:val="nothing"/>
      <w:lvlText w:val="%1、"/>
      <w:lvlJc w:val="left"/>
      <w:pPr>
        <w:ind w:left="426" w:firstLine="0"/>
      </w:pPr>
      <w:rPr>
        <w:rFonts w:hint="default" w:ascii="Times New Roman" w:hAnsi="Times New Roman" w:cs="Times New Roman"/>
        <w:b/>
        <w:bCs/>
        <w:i w:val="0"/>
        <w:iCs w:val="0"/>
        <w:caps w:val="0"/>
        <w:smallCaps w:val="0"/>
        <w:strike w:val="0"/>
        <w:dstrike w:val="0"/>
        <w:vanish w:val="0"/>
        <w:color w:val="000000"/>
        <w:spacing w:val="0"/>
        <w:kern w:val="0"/>
        <w:position w:val="0"/>
        <w:sz w:val="36"/>
        <w:szCs w:val="36"/>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2"/>
      <w:isLgl/>
      <w:suff w:val="space"/>
      <w:lvlText w:val="%1.%2"/>
      <w:lvlJc w:val="left"/>
      <w:pPr>
        <w:ind w:left="426" w:firstLine="0"/>
      </w:pPr>
      <w:rPr>
        <w:rFonts w:hint="default" w:ascii="Times New Roman" w:hAnsi="Times New Roman" w:eastAsia="仿宋"/>
        <w:b/>
        <w:i w:val="0"/>
        <w:sz w:val="32"/>
        <w:szCs w:val="32"/>
      </w:rPr>
    </w:lvl>
    <w:lvl w:ilvl="2" w:tentative="0">
      <w:start w:val="1"/>
      <w:numFmt w:val="decimal"/>
      <w:isLgl/>
      <w:suff w:val="space"/>
      <w:lvlText w:val="%1.%2.%3"/>
      <w:lvlJc w:val="left"/>
      <w:pPr>
        <w:ind w:left="0" w:firstLine="0"/>
      </w:pPr>
      <w:rPr>
        <w:rFonts w:hint="default" w:ascii="Times New Roman" w:hAnsi="Times New Roman" w:eastAsia="仿宋"/>
        <w:b/>
        <w:i w:val="0"/>
        <w:sz w:val="30"/>
        <w:szCs w:val="30"/>
      </w:rPr>
    </w:lvl>
    <w:lvl w:ilvl="3" w:tentative="0">
      <w:start w:val="1"/>
      <w:numFmt w:val="decimal"/>
      <w:isLgl/>
      <w:suff w:val="space"/>
      <w:lvlText w:val="%1.%2.%3.%4"/>
      <w:lvlJc w:val="left"/>
      <w:pPr>
        <w:ind w:left="0" w:firstLine="0"/>
      </w:pPr>
      <w:rPr>
        <w:rFonts w:hint="default" w:ascii="Times New Roman" w:hAnsi="Times New Roman" w:eastAsia="仿宋" w:cs="Times New Roman"/>
        <w:b/>
        <w:bCs w:val="0"/>
        <w:i w:val="0"/>
        <w:iCs w:val="0"/>
        <w:caps w:val="0"/>
        <w:smallCaps w:val="0"/>
        <w:strike w:val="0"/>
        <w:dstrike w:val="0"/>
        <w:vanish w:val="0"/>
        <w:color w:val="auto"/>
        <w:spacing w:val="0"/>
        <w:kern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isLgl/>
      <w:suff w:val="space"/>
      <w:lvlText w:val="%1.%2.%3.%4.%5"/>
      <w:lvlJc w:val="left"/>
      <w:pPr>
        <w:ind w:left="4253" w:firstLine="0"/>
      </w:pPr>
      <w:rPr>
        <w:rFonts w:hint="default" w:ascii="Times New Roman" w:hAnsi="Times New Roman" w:eastAsia="仿宋"/>
        <w:b/>
        <w:i w:val="0"/>
        <w:sz w:val="28"/>
      </w:rPr>
    </w:lvl>
    <w:lvl w:ilvl="5" w:tentative="0">
      <w:start w:val="1"/>
      <w:numFmt w:val="decimal"/>
      <w:isLgl/>
      <w:suff w:val="space"/>
      <w:lvlText w:val="%1.%2.%3.%4.%5.%6"/>
      <w:lvlJc w:val="left"/>
      <w:pPr>
        <w:ind w:left="0" w:firstLine="0"/>
      </w:pPr>
      <w:rPr>
        <w:rFonts w:hint="default" w:ascii="Times New Roman" w:hAnsi="Times New Roman" w:eastAsia="仿宋"/>
        <w:b/>
        <w:i w:val="0"/>
        <w:sz w:val="28"/>
      </w:rPr>
    </w:lvl>
    <w:lvl w:ilvl="6" w:tentative="0">
      <w:start w:val="1"/>
      <w:numFmt w:val="decimal"/>
      <w:suff w:val="nothing"/>
      <w:lvlText w:val="%7."/>
      <w:lvlJc w:val="left"/>
      <w:pPr>
        <w:ind w:left="0" w:firstLine="0"/>
      </w:pPr>
      <w:rPr>
        <w:rFonts w:hint="default" w:ascii="Times New Roman" w:hAnsi="Times New Roman" w:eastAsia="仿宋"/>
        <w:b/>
        <w:i w:val="0"/>
        <w:sz w:val="28"/>
      </w:rPr>
    </w:lvl>
    <w:lvl w:ilvl="7" w:tentative="0">
      <w:start w:val="1"/>
      <w:numFmt w:val="decimal"/>
      <w:isLgl/>
      <w:suff w:val="space"/>
      <w:lvlText w:val="%1.%2.%3.%4.%5.%6.%7.%8"/>
      <w:lvlJc w:val="left"/>
      <w:pPr>
        <w:ind w:left="0" w:firstLine="0"/>
      </w:pPr>
      <w:rPr>
        <w:rFonts w:hint="default" w:ascii="Times New Roman" w:hAnsi="Times New Roman" w:eastAsia="仿宋"/>
        <w:b w:val="0"/>
        <w:i w:val="0"/>
        <w:sz w:val="28"/>
      </w:rPr>
    </w:lvl>
    <w:lvl w:ilvl="8" w:tentative="0">
      <w:start w:val="1"/>
      <w:numFmt w:val="decimal"/>
      <w:isLgl/>
      <w:suff w:val="space"/>
      <w:lvlText w:val="%1.%2.%3.%4.%5.%6.%7.%8.%9"/>
      <w:lvlJc w:val="left"/>
      <w:pPr>
        <w:ind w:left="0" w:firstLine="0"/>
      </w:pPr>
      <w:rPr>
        <w:rFonts w:hint="default" w:ascii="Times New Roman" w:hAnsi="Times New Roman" w:eastAsia="仿宋"/>
        <w:b w:val="0"/>
        <w:i w:val="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ODlkMzdkZTUzMmRlNjViM2QzMzAzNTg0YWRjNjIifQ=="/>
  </w:docVars>
  <w:rsids>
    <w:rsidRoot w:val="00000000"/>
    <w:rsid w:val="07F7E55C"/>
    <w:rsid w:val="177BE373"/>
    <w:rsid w:val="1EDA3AB3"/>
    <w:rsid w:val="1F772F6F"/>
    <w:rsid w:val="27F73240"/>
    <w:rsid w:val="3F1FD16D"/>
    <w:rsid w:val="3F5E7B73"/>
    <w:rsid w:val="3FF35094"/>
    <w:rsid w:val="477F9D15"/>
    <w:rsid w:val="4FD11354"/>
    <w:rsid w:val="5DAD69DA"/>
    <w:rsid w:val="5FDD7F2E"/>
    <w:rsid w:val="6B3EFDC5"/>
    <w:rsid w:val="6DB5EC70"/>
    <w:rsid w:val="6DF58AA8"/>
    <w:rsid w:val="6F7F0A9E"/>
    <w:rsid w:val="73DD43D4"/>
    <w:rsid w:val="74BB606B"/>
    <w:rsid w:val="77ABB22B"/>
    <w:rsid w:val="77DEEE21"/>
    <w:rsid w:val="783F4C65"/>
    <w:rsid w:val="7969360D"/>
    <w:rsid w:val="7DFEB718"/>
    <w:rsid w:val="7ECD70A8"/>
    <w:rsid w:val="7F2B693E"/>
    <w:rsid w:val="7F5B3AC4"/>
    <w:rsid w:val="7FBD8FFA"/>
    <w:rsid w:val="7FF1D25D"/>
    <w:rsid w:val="9DFFDBE5"/>
    <w:rsid w:val="AFEAC9AF"/>
    <w:rsid w:val="BBFD2BFE"/>
    <w:rsid w:val="BF1CDFB5"/>
    <w:rsid w:val="BFD6DC1E"/>
    <w:rsid w:val="C74FFB49"/>
    <w:rsid w:val="D67FBE5C"/>
    <w:rsid w:val="D79BD3EF"/>
    <w:rsid w:val="DD15FF32"/>
    <w:rsid w:val="DDBBAFA2"/>
    <w:rsid w:val="EE5F773D"/>
    <w:rsid w:val="EEFD7679"/>
    <w:rsid w:val="F7AE63A8"/>
    <w:rsid w:val="F7C5B21D"/>
    <w:rsid w:val="F7EE904F"/>
    <w:rsid w:val="F7F36C4B"/>
    <w:rsid w:val="FEBFE53F"/>
    <w:rsid w:val="FFDF0904"/>
    <w:rsid w:val="FFDF63BE"/>
    <w:rsid w:val="FFED7609"/>
    <w:rsid w:val="FFF6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
    <w:pPr>
      <w:keepNext/>
      <w:numPr>
        <w:ilvl w:val="1"/>
        <w:numId w:val="1"/>
      </w:numPr>
      <w:ind w:firstLineChars="0"/>
      <w:outlineLvl w:val="1"/>
    </w:pPr>
    <w:rPr>
      <w:b/>
      <w:sz w:val="32"/>
      <w:szCs w:val="32"/>
      <w:lang w:val="zh-CN"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正文"/>
    <w:basedOn w:val="1"/>
    <w:qFormat/>
    <w:uiPriority w:val="0"/>
    <w:pPr>
      <w:widowControl w:val="0"/>
    </w:pPr>
    <w:rPr>
      <w:kern w:val="2"/>
      <w:szCs w:val="28"/>
      <w:lang w:val="zh-CN" w:eastAsia="zh-CN"/>
    </w:rPr>
  </w:style>
  <w:style w:type="paragraph" w:styleId="4">
    <w:name w:val="table of authorities"/>
    <w:basedOn w:val="1"/>
    <w:next w:val="1"/>
    <w:qFormat/>
    <w:uiPriority w:val="0"/>
    <w:pPr>
      <w:ind w:left="420" w:leftChars="200"/>
    </w:pPr>
  </w:style>
  <w:style w:type="paragraph" w:styleId="5">
    <w:name w:val="Body Text"/>
    <w:basedOn w:val="1"/>
    <w:qFormat/>
    <w:uiPriority w:val="0"/>
    <w:rPr>
      <w:rFonts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668</Words>
  <Characters>668</Characters>
  <Lines>0</Lines>
  <Paragraphs>0</Paragraphs>
  <TotalTime>11</TotalTime>
  <ScaleCrop>false</ScaleCrop>
  <LinksUpToDate>false</LinksUpToDate>
  <CharactersWithSpaces>670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2022-06-01T01:26:00Z</dcterms:created>
  <dc:creator>34256</dc:creator>
  <cp:lastModifiedBy>uos</cp:lastModifiedBy>
  <cp:lastPrinted>2023-10-20T17:58:00Z</cp:lastPrinted>
  <dcterms:modified xsi:type="dcterms:W3CDTF">2023-10-24T10:02:40Z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C82FA798A4FE45CFBE02BD3E514EF203</vt:lpwstr>
  </property>
</Properties>
</file>