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sz w:val="24"/>
        </w:rPr>
      </w:pPr>
    </w:p>
    <w:p>
      <w:pPr>
        <w:rPr>
          <w:b/>
          <w:sz w:val="24"/>
        </w:rPr>
      </w:pPr>
    </w:p>
    <w:p>
      <w:pPr>
        <w:rPr>
          <w:b/>
          <w:sz w:val="72"/>
        </w:rPr>
      </w:pPr>
    </w:p>
    <w:p>
      <w:pPr>
        <w:rPr>
          <w:b/>
          <w:sz w:val="72"/>
        </w:rPr>
      </w:pPr>
    </w:p>
    <w:p>
      <w:pPr>
        <w:jc w:val="center"/>
        <w:rPr>
          <w:b/>
          <w:sz w:val="72"/>
        </w:rPr>
      </w:pPr>
      <w:r>
        <w:rPr>
          <w:b/>
          <w:sz w:val="72"/>
        </w:rPr>
        <w:t>建设项目环境影响报告表</w:t>
      </w:r>
    </w:p>
    <w:p>
      <w:pPr>
        <w:rPr>
          <w:sz w:val="36"/>
        </w:rPr>
      </w:pPr>
    </w:p>
    <w:p>
      <w:pPr>
        <w:tabs>
          <w:tab w:val="left" w:pos="3345"/>
        </w:tabs>
        <w:rPr>
          <w:sz w:val="36"/>
        </w:rPr>
      </w:pPr>
      <w:r>
        <w:rPr>
          <w:sz w:val="36"/>
        </w:rPr>
        <w:tab/>
      </w:r>
    </w:p>
    <w:p>
      <w:pPr>
        <w:rPr>
          <w:sz w:val="36"/>
        </w:rPr>
      </w:pPr>
    </w:p>
    <w:p>
      <w:pPr>
        <w:rPr>
          <w:sz w:val="36"/>
        </w:rPr>
      </w:pPr>
    </w:p>
    <w:p>
      <w:pPr>
        <w:rPr>
          <w:sz w:val="36"/>
        </w:rPr>
      </w:pPr>
    </w:p>
    <w:p>
      <w:pPr>
        <w:rPr>
          <w:sz w:val="36"/>
        </w:rPr>
      </w:pPr>
    </w:p>
    <w:p>
      <w:pPr>
        <w:rPr>
          <w:sz w:val="36"/>
        </w:rPr>
      </w:pPr>
    </w:p>
    <w:p>
      <w:pPr>
        <w:rPr>
          <w:sz w:val="36"/>
        </w:rPr>
      </w:pPr>
    </w:p>
    <w:p>
      <w:pPr>
        <w:rPr>
          <w:sz w:val="36"/>
        </w:rPr>
      </w:pPr>
    </w:p>
    <w:p>
      <w:pPr>
        <w:rPr>
          <w:sz w:val="32"/>
          <w:szCs w:val="32"/>
        </w:rPr>
      </w:pPr>
      <w:r>
        <w:rPr>
          <w:sz w:val="32"/>
          <w:szCs w:val="32"/>
        </w:rPr>
        <w:t xml:space="preserve"> </w:t>
      </w:r>
    </w:p>
    <w:p>
      <w:pPr>
        <w:spacing w:line="360" w:lineRule="auto"/>
        <w:rPr>
          <w:rFonts w:eastAsia="黑体"/>
          <w:sz w:val="32"/>
          <w:szCs w:val="32"/>
          <w:u w:val="single"/>
        </w:rPr>
      </w:pPr>
      <w:r>
        <w:rPr>
          <w:rFonts w:eastAsia="黑体"/>
          <w:sz w:val="32"/>
          <w:szCs w:val="32"/>
        </w:rPr>
        <w:t xml:space="preserve">   项目名称：</w:t>
      </w:r>
      <w:r>
        <w:rPr>
          <w:rFonts w:eastAsia="黑体"/>
          <w:sz w:val="32"/>
          <w:szCs w:val="32"/>
          <w:u w:val="single"/>
        </w:rPr>
        <w:t xml:space="preserve">          保定西北郊热电送出工程       </w:t>
      </w:r>
    </w:p>
    <w:p>
      <w:pPr>
        <w:spacing w:line="360" w:lineRule="auto"/>
        <w:rPr>
          <w:rFonts w:eastAsia="黑体"/>
          <w:sz w:val="32"/>
          <w:szCs w:val="32"/>
        </w:rPr>
      </w:pPr>
      <w:r>
        <w:rPr>
          <w:rFonts w:eastAsia="黑体"/>
          <w:sz w:val="32"/>
          <w:szCs w:val="32"/>
        </w:rPr>
        <w:t xml:space="preserve">   建设单位(盖章)：</w:t>
      </w:r>
      <w:r>
        <w:rPr>
          <w:rFonts w:eastAsia="黑体"/>
          <w:sz w:val="32"/>
          <w:szCs w:val="32"/>
          <w:u w:val="single"/>
        </w:rPr>
        <w:t xml:space="preserve"> 国网河北省电力公司保定供电分公司 </w:t>
      </w:r>
    </w:p>
    <w:p>
      <w:pPr>
        <w:jc w:val="center"/>
        <w:rPr>
          <w:rFonts w:eastAsia="黑体"/>
          <w:b/>
          <w:sz w:val="32"/>
          <w:szCs w:val="32"/>
          <w:u w:val="single"/>
        </w:rPr>
      </w:pPr>
    </w:p>
    <w:p>
      <w:pPr>
        <w:jc w:val="center"/>
        <w:rPr>
          <w:b/>
          <w:sz w:val="32"/>
          <w:szCs w:val="32"/>
          <w:u w:val="single"/>
        </w:rPr>
      </w:pPr>
    </w:p>
    <w:p>
      <w:pPr>
        <w:jc w:val="center"/>
        <w:rPr>
          <w:b/>
          <w:sz w:val="32"/>
          <w:szCs w:val="32"/>
        </w:rPr>
      </w:pPr>
    </w:p>
    <w:p>
      <w:pPr>
        <w:jc w:val="center"/>
        <w:rPr>
          <w:b/>
          <w:sz w:val="32"/>
          <w:szCs w:val="32"/>
          <w:u w:val="single"/>
        </w:rPr>
      </w:pPr>
    </w:p>
    <w:p>
      <w:pPr>
        <w:jc w:val="center"/>
        <w:rPr>
          <w:sz w:val="32"/>
          <w:szCs w:val="32"/>
        </w:rPr>
      </w:pPr>
    </w:p>
    <w:p>
      <w:pPr>
        <w:jc w:val="center"/>
        <w:rPr>
          <w:sz w:val="32"/>
          <w:szCs w:val="32"/>
        </w:rPr>
      </w:pPr>
    </w:p>
    <w:p>
      <w:pPr>
        <w:rPr>
          <w:sz w:val="32"/>
          <w:szCs w:val="32"/>
        </w:rPr>
      </w:pPr>
    </w:p>
    <w:p>
      <w:pPr>
        <w:jc w:val="center"/>
        <w:rPr>
          <w:sz w:val="32"/>
          <w:szCs w:val="32"/>
        </w:rPr>
      </w:pPr>
    </w:p>
    <w:p>
      <w:pPr>
        <w:spacing w:line="360" w:lineRule="auto"/>
        <w:rPr>
          <w:rFonts w:eastAsia="黑体"/>
          <w:sz w:val="32"/>
          <w:szCs w:val="32"/>
        </w:rPr>
      </w:pPr>
      <w:r>
        <w:rPr>
          <w:rFonts w:eastAsia="黑体"/>
          <w:bCs/>
          <w:sz w:val="32"/>
          <w:szCs w:val="32"/>
        </w:rPr>
        <w:t xml:space="preserve">     编制单位：河北圣洁环境生物科技工程有限公司</w:t>
      </w:r>
    </w:p>
    <w:p>
      <w:pPr>
        <w:snapToGrid w:val="0"/>
        <w:spacing w:line="360" w:lineRule="auto"/>
        <w:ind w:firstLine="800" w:firstLineChars="250"/>
        <w:rPr>
          <w:rFonts w:eastAsia="黑体"/>
          <w:sz w:val="32"/>
          <w:szCs w:val="32"/>
        </w:rPr>
        <w:sectPr>
          <w:footerReference r:id="rId3" w:type="default"/>
          <w:footerReference r:id="rId4" w:type="even"/>
          <w:type w:val="continuous"/>
          <w:pgSz w:w="11907" w:h="16839"/>
          <w:pgMar w:top="1304" w:right="1247" w:bottom="964" w:left="1588" w:header="1134" w:footer="794" w:gutter="0"/>
          <w:pgNumType w:fmt="numberInDash"/>
          <w:cols w:space="720" w:num="1"/>
          <w:docGrid w:linePitch="435" w:charSpace="0"/>
        </w:sectPr>
      </w:pPr>
      <w:r>
        <w:rPr>
          <w:rFonts w:eastAsia="黑体"/>
          <w:sz w:val="32"/>
          <w:szCs w:val="32"/>
        </w:rPr>
        <w:t xml:space="preserve">编制日期：二   〇   一   六   年   </w:t>
      </w:r>
      <w:r>
        <w:rPr>
          <w:rFonts w:hint="eastAsia" w:eastAsia="黑体"/>
          <w:sz w:val="32"/>
          <w:szCs w:val="32"/>
        </w:rPr>
        <w:t>二</w:t>
      </w:r>
      <w:r>
        <w:rPr>
          <w:rFonts w:eastAsia="黑体"/>
          <w:sz w:val="32"/>
          <w:szCs w:val="32"/>
        </w:rPr>
        <w:t xml:space="preserve">   月</w:t>
      </w:r>
    </w:p>
    <w:p>
      <w:pPr>
        <w:snapToGrid w:val="0"/>
        <w:spacing w:line="360" w:lineRule="auto"/>
        <w:jc w:val="center"/>
        <w:rPr>
          <w:rFonts w:eastAsia="黑体"/>
          <w:sz w:val="32"/>
          <w:szCs w:val="32"/>
        </w:rPr>
      </w:pPr>
    </w:p>
    <w:p>
      <w:pPr>
        <w:rPr>
          <w:sz w:val="24"/>
        </w:rPr>
      </w:pPr>
    </w:p>
    <w:p>
      <w:pPr>
        <w:jc w:val="center"/>
        <w:rPr>
          <w:b/>
          <w:sz w:val="32"/>
        </w:rPr>
      </w:pPr>
      <w:r>
        <w:rPr>
          <w:b/>
          <w:sz w:val="32"/>
        </w:rPr>
        <w:t>《建设项目环境影响报告表》编制说明</w:t>
      </w:r>
    </w:p>
    <w:p>
      <w:pPr>
        <w:jc w:val="center"/>
        <w:rPr>
          <w:b/>
          <w:sz w:val="32"/>
        </w:rPr>
      </w:pPr>
    </w:p>
    <w:p>
      <w:pPr>
        <w:spacing w:line="660" w:lineRule="exact"/>
        <w:ind w:firstLine="482"/>
        <w:rPr>
          <w:sz w:val="28"/>
          <w:szCs w:val="28"/>
        </w:rPr>
      </w:pPr>
      <w:r>
        <w:rPr>
          <w:sz w:val="28"/>
          <w:szCs w:val="28"/>
        </w:rPr>
        <w:t>《建设项目环境影响报告表》由具有从事环境影响评价工作资质的单位编制。</w:t>
      </w:r>
    </w:p>
    <w:p>
      <w:pPr>
        <w:numPr>
          <w:ilvl w:val="0"/>
          <w:numId w:val="1"/>
        </w:numPr>
        <w:spacing w:line="660" w:lineRule="exact"/>
        <w:rPr>
          <w:sz w:val="28"/>
          <w:szCs w:val="28"/>
        </w:rPr>
      </w:pPr>
      <w:r>
        <w:rPr>
          <w:sz w:val="28"/>
          <w:szCs w:val="28"/>
        </w:rPr>
        <w:t>项目名称──指项目立项批复时的名称，应不超过30个字（两个英文字段作一个汉字）。</w:t>
      </w:r>
    </w:p>
    <w:p>
      <w:pPr>
        <w:numPr>
          <w:ilvl w:val="0"/>
          <w:numId w:val="1"/>
        </w:numPr>
        <w:spacing w:line="660" w:lineRule="exact"/>
        <w:rPr>
          <w:sz w:val="28"/>
          <w:szCs w:val="28"/>
        </w:rPr>
      </w:pPr>
      <w:r>
        <w:rPr>
          <w:sz w:val="28"/>
          <w:szCs w:val="28"/>
        </w:rPr>
        <w:t>建设地点──指项目所在地详细地址，公路、铁路应填写起止地点。</w:t>
      </w:r>
    </w:p>
    <w:p>
      <w:pPr>
        <w:numPr>
          <w:ilvl w:val="0"/>
          <w:numId w:val="1"/>
        </w:numPr>
        <w:spacing w:line="660" w:lineRule="exact"/>
        <w:rPr>
          <w:sz w:val="28"/>
          <w:szCs w:val="28"/>
        </w:rPr>
      </w:pPr>
      <w:r>
        <w:rPr>
          <w:sz w:val="28"/>
          <w:szCs w:val="28"/>
        </w:rPr>
        <w:t>行业类别──按国标填写。</w:t>
      </w:r>
    </w:p>
    <w:p>
      <w:pPr>
        <w:numPr>
          <w:ilvl w:val="0"/>
          <w:numId w:val="1"/>
        </w:numPr>
        <w:spacing w:line="660" w:lineRule="exact"/>
        <w:rPr>
          <w:sz w:val="28"/>
          <w:szCs w:val="28"/>
        </w:rPr>
      </w:pPr>
      <w:r>
        <w:rPr>
          <w:sz w:val="28"/>
          <w:szCs w:val="28"/>
        </w:rPr>
        <w:t>总投资──指项目投资总额。</w:t>
      </w:r>
    </w:p>
    <w:p>
      <w:pPr>
        <w:numPr>
          <w:ilvl w:val="0"/>
          <w:numId w:val="1"/>
        </w:numPr>
        <w:spacing w:line="660" w:lineRule="exact"/>
        <w:rPr>
          <w:sz w:val="28"/>
          <w:szCs w:val="28"/>
        </w:rPr>
      </w:pPr>
      <w:r>
        <w:rPr>
          <w:sz w:val="28"/>
          <w:szCs w:val="28"/>
        </w:rPr>
        <w:t>主要环境保护目标──指项目区周围一定范围内集中居民住宅区、学校、医院、保护文物、风景名胜区、水源地和生态敏感点等，应尽可能给出保护目标、性质、规模和距厂界距离等。</w:t>
      </w:r>
    </w:p>
    <w:p>
      <w:pPr>
        <w:numPr>
          <w:ilvl w:val="0"/>
          <w:numId w:val="1"/>
        </w:numPr>
        <w:spacing w:line="660" w:lineRule="exact"/>
        <w:rPr>
          <w:sz w:val="28"/>
          <w:szCs w:val="28"/>
        </w:rPr>
      </w:pPr>
      <w:r>
        <w:rPr>
          <w:sz w:val="28"/>
          <w:szCs w:val="28"/>
        </w:rPr>
        <w:t>结论与建议──给出本项目清洁生产、达标排放和总量控制的分析结论，确定污染防治措施的有效性，说明本项目对环境造成的影响，给出建设项目环境可行性的明确结论。同时提出减少环境影响的其他建议。</w:t>
      </w:r>
    </w:p>
    <w:p>
      <w:pPr>
        <w:numPr>
          <w:ilvl w:val="0"/>
          <w:numId w:val="1"/>
        </w:numPr>
        <w:spacing w:line="660" w:lineRule="exact"/>
        <w:rPr>
          <w:sz w:val="28"/>
          <w:szCs w:val="28"/>
        </w:rPr>
      </w:pPr>
      <w:r>
        <w:rPr>
          <w:sz w:val="28"/>
          <w:szCs w:val="28"/>
        </w:rPr>
        <w:t>预审意见──由行业主管部门填写答复意见，无主管部门项目，可不填。</w:t>
      </w:r>
    </w:p>
    <w:p>
      <w:pPr>
        <w:numPr>
          <w:ilvl w:val="0"/>
          <w:numId w:val="1"/>
        </w:numPr>
        <w:spacing w:line="660" w:lineRule="exact"/>
        <w:rPr>
          <w:sz w:val="28"/>
          <w:szCs w:val="28"/>
        </w:rPr>
      </w:pPr>
      <w:r>
        <w:rPr>
          <w:sz w:val="28"/>
          <w:szCs w:val="28"/>
        </w:rPr>
        <w:t>审批意见──由负责审批该项目的环境保护行政主管部门批复。</w:t>
      </w:r>
    </w:p>
    <w:p>
      <w:pPr>
        <w:spacing w:line="660" w:lineRule="exact"/>
        <w:rPr>
          <w:sz w:val="24"/>
        </w:rPr>
      </w:pPr>
    </w:p>
    <w:p>
      <w:pPr>
        <w:rPr>
          <w:b/>
          <w:sz w:val="28"/>
        </w:rPr>
      </w:pPr>
    </w:p>
    <w:p>
      <w:pPr>
        <w:rPr>
          <w:b/>
          <w:sz w:val="28"/>
        </w:rPr>
      </w:pPr>
    </w:p>
    <w:p>
      <w:pPr>
        <w:rPr>
          <w:b/>
          <w:sz w:val="28"/>
        </w:rPr>
      </w:pPr>
    </w:p>
    <w:p>
      <w:pPr>
        <w:rPr>
          <w:b/>
          <w:sz w:val="28"/>
        </w:rPr>
      </w:pPr>
    </w:p>
    <w:p>
      <w:pPr>
        <w:rPr>
          <w:b/>
          <w:sz w:val="28"/>
        </w:rPr>
        <w:sectPr>
          <w:pgSz w:w="11907" w:h="16839"/>
          <w:pgMar w:top="1304" w:right="1247" w:bottom="964" w:left="1588" w:header="1134" w:footer="794" w:gutter="0"/>
          <w:pgNumType w:fmt="numberInDash"/>
          <w:cols w:space="720" w:num="1"/>
          <w:docGrid w:linePitch="435" w:charSpace="0"/>
        </w:sectPr>
      </w:pPr>
    </w:p>
    <w:p>
      <w:pPr>
        <w:pStyle w:val="2"/>
        <w:ind w:firstLine="140" w:firstLineChars="50"/>
        <w:rPr>
          <w:rFonts w:ascii="Times New Roman"/>
        </w:rPr>
      </w:pPr>
      <w:r>
        <w:rPr>
          <w:rFonts w:ascii="Times New Roman"/>
        </w:rPr>
        <w:t>建设项目基本情况</w:t>
      </w:r>
    </w:p>
    <w:tbl>
      <w:tblPr>
        <w:tblStyle w:val="43"/>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1217"/>
        <w:gridCol w:w="785"/>
        <w:gridCol w:w="809"/>
        <w:gridCol w:w="325"/>
        <w:gridCol w:w="1119"/>
        <w:gridCol w:w="213"/>
        <w:gridCol w:w="194"/>
        <w:gridCol w:w="1385"/>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jc w:val="center"/>
        </w:trPr>
        <w:tc>
          <w:tcPr>
            <w:tcW w:w="1549" w:type="dxa"/>
            <w:noWrap w:val="0"/>
            <w:vAlign w:val="center"/>
          </w:tcPr>
          <w:p>
            <w:pPr>
              <w:spacing w:line="400" w:lineRule="exact"/>
              <w:jc w:val="center"/>
              <w:rPr>
                <w:sz w:val="28"/>
                <w:szCs w:val="28"/>
              </w:rPr>
            </w:pPr>
            <w:r>
              <w:rPr>
                <w:sz w:val="28"/>
                <w:szCs w:val="28"/>
              </w:rPr>
              <w:t>项目名称</w:t>
            </w:r>
          </w:p>
        </w:tc>
        <w:tc>
          <w:tcPr>
            <w:tcW w:w="7055" w:type="dxa"/>
            <w:gridSpan w:val="9"/>
            <w:noWrap w:val="0"/>
            <w:tcMar>
              <w:top w:w="0" w:type="dxa"/>
            </w:tcMar>
            <w:vAlign w:val="center"/>
          </w:tcPr>
          <w:p>
            <w:pPr>
              <w:jc w:val="center"/>
              <w:rPr>
                <w:sz w:val="24"/>
              </w:rPr>
            </w:pPr>
            <w:r>
              <w:rPr>
                <w:sz w:val="24"/>
              </w:rPr>
              <w:t>保定西北郊热电送出工程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9" w:type="dxa"/>
            <w:noWrap w:val="0"/>
            <w:vAlign w:val="center"/>
          </w:tcPr>
          <w:p>
            <w:pPr>
              <w:spacing w:line="400" w:lineRule="exact"/>
              <w:jc w:val="center"/>
              <w:rPr>
                <w:sz w:val="28"/>
                <w:szCs w:val="28"/>
              </w:rPr>
            </w:pPr>
            <w:r>
              <w:rPr>
                <w:sz w:val="28"/>
                <w:szCs w:val="28"/>
              </w:rPr>
              <w:t>建设单位</w:t>
            </w:r>
          </w:p>
        </w:tc>
        <w:tc>
          <w:tcPr>
            <w:tcW w:w="7055" w:type="dxa"/>
            <w:gridSpan w:val="9"/>
            <w:noWrap w:val="0"/>
            <w:vAlign w:val="center"/>
          </w:tcPr>
          <w:p>
            <w:pPr>
              <w:spacing w:line="400" w:lineRule="exact"/>
              <w:jc w:val="center"/>
              <w:rPr>
                <w:sz w:val="24"/>
              </w:rPr>
            </w:pPr>
            <w:r>
              <w:rPr>
                <w:sz w:val="24"/>
              </w:rPr>
              <w:t>国网河北省电力公司保定供电分公司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9" w:type="dxa"/>
            <w:noWrap w:val="0"/>
            <w:vAlign w:val="center"/>
          </w:tcPr>
          <w:p>
            <w:pPr>
              <w:spacing w:line="400" w:lineRule="exact"/>
              <w:jc w:val="center"/>
              <w:rPr>
                <w:sz w:val="28"/>
                <w:szCs w:val="28"/>
              </w:rPr>
            </w:pPr>
            <w:r>
              <w:rPr>
                <w:sz w:val="28"/>
                <w:szCs w:val="28"/>
              </w:rPr>
              <w:t>法人代表</w:t>
            </w:r>
          </w:p>
        </w:tc>
        <w:tc>
          <w:tcPr>
            <w:tcW w:w="3136" w:type="dxa"/>
            <w:gridSpan w:val="4"/>
            <w:noWrap w:val="0"/>
            <w:vAlign w:val="center"/>
          </w:tcPr>
          <w:p>
            <w:pPr>
              <w:spacing w:line="400" w:lineRule="exact"/>
              <w:jc w:val="center"/>
              <w:rPr>
                <w:sz w:val="24"/>
              </w:rPr>
            </w:pPr>
            <w:r>
              <w:rPr>
                <w:sz w:val="24"/>
              </w:rPr>
              <w:t>王军利</w:t>
            </w:r>
          </w:p>
        </w:tc>
        <w:tc>
          <w:tcPr>
            <w:tcW w:w="1526" w:type="dxa"/>
            <w:gridSpan w:val="3"/>
            <w:noWrap w:val="0"/>
            <w:vAlign w:val="center"/>
          </w:tcPr>
          <w:p>
            <w:pPr>
              <w:spacing w:line="400" w:lineRule="exact"/>
              <w:jc w:val="center"/>
              <w:rPr>
                <w:sz w:val="24"/>
              </w:rPr>
            </w:pPr>
            <w:r>
              <w:rPr>
                <w:sz w:val="24"/>
              </w:rPr>
              <w:t>联系人</w:t>
            </w:r>
          </w:p>
        </w:tc>
        <w:tc>
          <w:tcPr>
            <w:tcW w:w="2393" w:type="dxa"/>
            <w:gridSpan w:val="2"/>
            <w:noWrap w:val="0"/>
            <w:vAlign w:val="center"/>
          </w:tcPr>
          <w:p>
            <w:pPr>
              <w:spacing w:line="400" w:lineRule="exact"/>
              <w:jc w:val="center"/>
              <w:rPr>
                <w:sz w:val="24"/>
              </w:rPr>
            </w:pPr>
            <w:r>
              <w:rPr>
                <w:sz w:val="24"/>
              </w:rPr>
              <w:t>孔维清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9" w:type="dxa"/>
            <w:noWrap w:val="0"/>
            <w:vAlign w:val="center"/>
          </w:tcPr>
          <w:p>
            <w:pPr>
              <w:spacing w:line="400" w:lineRule="exact"/>
              <w:jc w:val="center"/>
              <w:rPr>
                <w:sz w:val="28"/>
                <w:szCs w:val="28"/>
              </w:rPr>
            </w:pPr>
            <w:r>
              <w:rPr>
                <w:sz w:val="28"/>
                <w:szCs w:val="28"/>
              </w:rPr>
              <w:t>通讯地址</w:t>
            </w:r>
          </w:p>
        </w:tc>
        <w:tc>
          <w:tcPr>
            <w:tcW w:w="7055" w:type="dxa"/>
            <w:gridSpan w:val="9"/>
            <w:noWrap w:val="0"/>
            <w:vAlign w:val="center"/>
          </w:tcPr>
          <w:p>
            <w:pPr>
              <w:spacing w:line="400" w:lineRule="exact"/>
              <w:jc w:val="center"/>
              <w:rPr>
                <w:b/>
                <w:sz w:val="24"/>
              </w:rPr>
            </w:pPr>
            <w:r>
              <w:rPr>
                <w:sz w:val="24"/>
              </w:rPr>
              <w:t>保定市阳光北大街138号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9" w:type="dxa"/>
            <w:noWrap w:val="0"/>
            <w:vAlign w:val="center"/>
          </w:tcPr>
          <w:p>
            <w:pPr>
              <w:spacing w:line="400" w:lineRule="exact"/>
              <w:jc w:val="center"/>
              <w:rPr>
                <w:sz w:val="28"/>
                <w:szCs w:val="28"/>
              </w:rPr>
            </w:pPr>
            <w:r>
              <w:rPr>
                <w:sz w:val="28"/>
                <w:szCs w:val="28"/>
              </w:rPr>
              <w:t>联系电话</w:t>
            </w:r>
          </w:p>
        </w:tc>
        <w:tc>
          <w:tcPr>
            <w:tcW w:w="2002" w:type="dxa"/>
            <w:gridSpan w:val="2"/>
            <w:noWrap w:val="0"/>
            <w:vAlign w:val="center"/>
          </w:tcPr>
          <w:p>
            <w:pPr>
              <w:jc w:val="center"/>
              <w:rPr>
                <w:sz w:val="28"/>
                <w:szCs w:val="28"/>
              </w:rPr>
            </w:pPr>
            <w:r>
              <w:rPr>
                <w:sz w:val="24"/>
              </w:rPr>
              <w:t>13803288839</w:t>
            </w:r>
          </w:p>
        </w:tc>
        <w:tc>
          <w:tcPr>
            <w:tcW w:w="1134" w:type="dxa"/>
            <w:gridSpan w:val="2"/>
            <w:noWrap w:val="0"/>
            <w:vAlign w:val="center"/>
          </w:tcPr>
          <w:p>
            <w:pPr>
              <w:spacing w:line="400" w:lineRule="exact"/>
              <w:jc w:val="center"/>
              <w:rPr>
                <w:sz w:val="28"/>
                <w:szCs w:val="28"/>
              </w:rPr>
            </w:pPr>
            <w:r>
              <w:rPr>
                <w:sz w:val="28"/>
                <w:szCs w:val="28"/>
              </w:rPr>
              <w:t>传 真</w:t>
            </w:r>
          </w:p>
        </w:tc>
        <w:tc>
          <w:tcPr>
            <w:tcW w:w="1332" w:type="dxa"/>
            <w:gridSpan w:val="2"/>
            <w:noWrap w:val="0"/>
            <w:vAlign w:val="center"/>
          </w:tcPr>
          <w:p>
            <w:pPr>
              <w:spacing w:line="400" w:lineRule="exact"/>
              <w:jc w:val="center"/>
              <w:rPr>
                <w:sz w:val="24"/>
              </w:rPr>
            </w:pPr>
            <w:r>
              <w:rPr>
                <w:sz w:val="24"/>
              </w:rPr>
              <w:t>/</w:t>
            </w:r>
          </w:p>
        </w:tc>
        <w:tc>
          <w:tcPr>
            <w:tcW w:w="1579" w:type="dxa"/>
            <w:gridSpan w:val="2"/>
            <w:noWrap w:val="0"/>
            <w:vAlign w:val="center"/>
          </w:tcPr>
          <w:p>
            <w:pPr>
              <w:spacing w:line="400" w:lineRule="exact"/>
              <w:jc w:val="center"/>
              <w:rPr>
                <w:sz w:val="28"/>
                <w:szCs w:val="28"/>
              </w:rPr>
            </w:pPr>
            <w:r>
              <w:rPr>
                <w:sz w:val="28"/>
                <w:szCs w:val="28"/>
              </w:rPr>
              <w:t>邮政编码</w:t>
            </w:r>
          </w:p>
        </w:tc>
        <w:tc>
          <w:tcPr>
            <w:tcW w:w="1008" w:type="dxa"/>
            <w:noWrap w:val="0"/>
            <w:vAlign w:val="center"/>
          </w:tcPr>
          <w:p>
            <w:pPr>
              <w:spacing w:line="400" w:lineRule="exact"/>
              <w:jc w:val="center"/>
              <w:rPr>
                <w:sz w:val="24"/>
              </w:rPr>
            </w:pPr>
            <w:r>
              <w:rPr>
                <w:sz w:val="24"/>
              </w:rPr>
              <w:t>071000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9" w:type="dxa"/>
            <w:noWrap w:val="0"/>
            <w:vAlign w:val="center"/>
          </w:tcPr>
          <w:p>
            <w:pPr>
              <w:spacing w:line="400" w:lineRule="exact"/>
              <w:jc w:val="center"/>
              <w:rPr>
                <w:sz w:val="28"/>
                <w:szCs w:val="28"/>
              </w:rPr>
            </w:pPr>
            <w:r>
              <w:rPr>
                <w:sz w:val="28"/>
                <w:szCs w:val="28"/>
              </w:rPr>
              <w:t>建设地点</w:t>
            </w:r>
          </w:p>
        </w:tc>
        <w:tc>
          <w:tcPr>
            <w:tcW w:w="7055" w:type="dxa"/>
            <w:gridSpan w:val="9"/>
            <w:noWrap w:val="0"/>
            <w:vAlign w:val="center"/>
          </w:tcPr>
          <w:p>
            <w:pPr>
              <w:spacing w:line="400" w:lineRule="exact"/>
              <w:jc w:val="center"/>
              <w:rPr>
                <w:sz w:val="24"/>
              </w:rPr>
            </w:pPr>
            <w:r>
              <w:rPr>
                <w:sz w:val="24"/>
              </w:rPr>
              <w:t>保定市满城区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9" w:type="dxa"/>
            <w:noWrap w:val="0"/>
            <w:vAlign w:val="center"/>
          </w:tcPr>
          <w:p>
            <w:pPr>
              <w:spacing w:line="400" w:lineRule="exact"/>
              <w:rPr>
                <w:sz w:val="28"/>
                <w:szCs w:val="28"/>
              </w:rPr>
            </w:pPr>
            <w:r>
              <w:rPr>
                <w:sz w:val="28"/>
                <w:szCs w:val="28"/>
              </w:rPr>
              <w:t>立项审批部门</w:t>
            </w:r>
          </w:p>
        </w:tc>
        <w:tc>
          <w:tcPr>
            <w:tcW w:w="2811" w:type="dxa"/>
            <w:gridSpan w:val="3"/>
            <w:noWrap w:val="0"/>
            <w:vAlign w:val="center"/>
          </w:tcPr>
          <w:p>
            <w:pPr>
              <w:spacing w:line="400" w:lineRule="exact"/>
              <w:jc w:val="center"/>
              <w:rPr>
                <w:snapToGrid w:val="0"/>
                <w:sz w:val="24"/>
              </w:rPr>
            </w:pPr>
            <w:r>
              <w:rPr>
                <w:snapToGrid w:val="0"/>
                <w:sz w:val="24"/>
              </w:rPr>
              <w:t>/</w:t>
            </w:r>
          </w:p>
        </w:tc>
        <w:tc>
          <w:tcPr>
            <w:tcW w:w="1444" w:type="dxa"/>
            <w:gridSpan w:val="2"/>
            <w:noWrap w:val="0"/>
            <w:vAlign w:val="center"/>
          </w:tcPr>
          <w:p>
            <w:pPr>
              <w:spacing w:line="400" w:lineRule="exact"/>
              <w:jc w:val="center"/>
              <w:rPr>
                <w:sz w:val="28"/>
                <w:szCs w:val="28"/>
              </w:rPr>
            </w:pPr>
            <w:r>
              <w:rPr>
                <w:sz w:val="28"/>
                <w:szCs w:val="28"/>
              </w:rPr>
              <w:t>批准文号</w:t>
            </w:r>
          </w:p>
        </w:tc>
        <w:tc>
          <w:tcPr>
            <w:tcW w:w="2800" w:type="dxa"/>
            <w:gridSpan w:val="4"/>
            <w:noWrap w:val="0"/>
            <w:vAlign w:val="center"/>
          </w:tcPr>
          <w:p>
            <w:pPr>
              <w:spacing w:line="400" w:lineRule="exact"/>
              <w:jc w:val="center"/>
              <w:rPr>
                <w:w w:val="90"/>
                <w:sz w:val="28"/>
                <w:szCs w:val="28"/>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9" w:type="dxa"/>
            <w:noWrap w:val="0"/>
            <w:vAlign w:val="center"/>
          </w:tcPr>
          <w:p>
            <w:pPr>
              <w:spacing w:line="240" w:lineRule="atLeast"/>
              <w:jc w:val="center"/>
              <w:rPr>
                <w:sz w:val="28"/>
                <w:szCs w:val="28"/>
              </w:rPr>
            </w:pPr>
            <w:r>
              <w:rPr>
                <w:sz w:val="28"/>
                <w:szCs w:val="28"/>
              </w:rPr>
              <w:t>建设性质</w:t>
            </w:r>
          </w:p>
        </w:tc>
        <w:tc>
          <w:tcPr>
            <w:tcW w:w="2811" w:type="dxa"/>
            <w:gridSpan w:val="3"/>
            <w:noWrap w:val="0"/>
            <w:vAlign w:val="center"/>
          </w:tcPr>
          <w:p>
            <w:pPr>
              <w:spacing w:line="400" w:lineRule="exact"/>
              <w:jc w:val="center"/>
              <w:rPr>
                <w:sz w:val="24"/>
              </w:rPr>
            </w:pPr>
            <w:r>
              <w:rPr>
                <w:sz w:val="24"/>
              </w:rPr>
              <w:t>新建</w:t>
            </w:r>
          </w:p>
        </w:tc>
        <w:tc>
          <w:tcPr>
            <w:tcW w:w="1444" w:type="dxa"/>
            <w:gridSpan w:val="2"/>
            <w:noWrap w:val="0"/>
            <w:vAlign w:val="center"/>
          </w:tcPr>
          <w:p>
            <w:pPr>
              <w:spacing w:line="400" w:lineRule="exact"/>
              <w:jc w:val="center"/>
              <w:rPr>
                <w:sz w:val="28"/>
                <w:szCs w:val="28"/>
              </w:rPr>
            </w:pPr>
            <w:r>
              <w:rPr>
                <w:sz w:val="28"/>
                <w:szCs w:val="28"/>
              </w:rPr>
              <w:t>行业类别及代码</w:t>
            </w:r>
          </w:p>
        </w:tc>
        <w:tc>
          <w:tcPr>
            <w:tcW w:w="2800" w:type="dxa"/>
            <w:gridSpan w:val="4"/>
            <w:noWrap w:val="0"/>
            <w:vAlign w:val="center"/>
          </w:tcPr>
          <w:p>
            <w:pPr>
              <w:spacing w:line="400" w:lineRule="exact"/>
              <w:jc w:val="center"/>
              <w:rPr>
                <w:kern w:val="0"/>
                <w:sz w:val="24"/>
              </w:rPr>
            </w:pPr>
            <w:r>
              <w:rPr>
                <w:sz w:val="24"/>
              </w:rPr>
              <w:t>D4420 电力供应行业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9" w:type="dxa"/>
            <w:noWrap w:val="0"/>
            <w:vAlign w:val="center"/>
          </w:tcPr>
          <w:p>
            <w:pPr>
              <w:snapToGrid w:val="0"/>
              <w:spacing w:line="240" w:lineRule="atLeast"/>
              <w:jc w:val="center"/>
              <w:rPr>
                <w:sz w:val="28"/>
                <w:szCs w:val="28"/>
              </w:rPr>
            </w:pPr>
            <w:r>
              <w:rPr>
                <w:sz w:val="28"/>
                <w:szCs w:val="28"/>
              </w:rPr>
              <w:t>占地面积</w:t>
            </w:r>
          </w:p>
          <w:p>
            <w:pPr>
              <w:snapToGrid w:val="0"/>
              <w:spacing w:line="240" w:lineRule="atLeast"/>
              <w:jc w:val="center"/>
              <w:rPr>
                <w:sz w:val="28"/>
                <w:szCs w:val="28"/>
              </w:rPr>
            </w:pPr>
            <w:r>
              <w:rPr>
                <w:sz w:val="28"/>
                <w:szCs w:val="28"/>
              </w:rPr>
              <w:t>(平方米)</w:t>
            </w:r>
          </w:p>
        </w:tc>
        <w:tc>
          <w:tcPr>
            <w:tcW w:w="2811" w:type="dxa"/>
            <w:gridSpan w:val="3"/>
            <w:noWrap w:val="0"/>
            <w:vAlign w:val="center"/>
          </w:tcPr>
          <w:p>
            <w:pPr>
              <w:spacing w:line="400" w:lineRule="exact"/>
              <w:jc w:val="center"/>
              <w:rPr>
                <w:sz w:val="24"/>
              </w:rPr>
            </w:pPr>
            <w:r>
              <w:rPr>
                <w:sz w:val="24"/>
              </w:rPr>
              <w:t>2100</w:t>
            </w:r>
          </w:p>
        </w:tc>
        <w:tc>
          <w:tcPr>
            <w:tcW w:w="1444" w:type="dxa"/>
            <w:gridSpan w:val="2"/>
            <w:noWrap w:val="0"/>
            <w:vAlign w:val="center"/>
          </w:tcPr>
          <w:p>
            <w:pPr>
              <w:spacing w:line="400" w:lineRule="exact"/>
              <w:jc w:val="center"/>
              <w:rPr>
                <w:sz w:val="28"/>
                <w:szCs w:val="28"/>
              </w:rPr>
            </w:pPr>
            <w:r>
              <w:rPr>
                <w:sz w:val="28"/>
                <w:szCs w:val="28"/>
              </w:rPr>
              <w:t>绿化面积(平方米)</w:t>
            </w:r>
          </w:p>
        </w:tc>
        <w:tc>
          <w:tcPr>
            <w:tcW w:w="2800" w:type="dxa"/>
            <w:gridSpan w:val="4"/>
            <w:noWrap w:val="0"/>
            <w:vAlign w:val="center"/>
          </w:tcPr>
          <w:p>
            <w:pPr>
              <w:spacing w:line="400" w:lineRule="exact"/>
              <w:jc w:val="center"/>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9" w:type="dxa"/>
            <w:noWrap w:val="0"/>
            <w:vAlign w:val="center"/>
          </w:tcPr>
          <w:p>
            <w:pPr>
              <w:snapToGrid w:val="0"/>
              <w:spacing w:line="240" w:lineRule="atLeast"/>
              <w:jc w:val="center"/>
              <w:rPr>
                <w:sz w:val="28"/>
                <w:szCs w:val="28"/>
              </w:rPr>
            </w:pPr>
            <w:r>
              <w:rPr>
                <w:sz w:val="28"/>
                <w:szCs w:val="28"/>
              </w:rPr>
              <w:t>总投资</w:t>
            </w:r>
          </w:p>
          <w:p>
            <w:pPr>
              <w:snapToGrid w:val="0"/>
              <w:spacing w:line="240" w:lineRule="atLeast"/>
              <w:jc w:val="center"/>
              <w:rPr>
                <w:sz w:val="28"/>
                <w:szCs w:val="28"/>
              </w:rPr>
            </w:pPr>
            <w:r>
              <w:rPr>
                <w:sz w:val="28"/>
                <w:szCs w:val="28"/>
              </w:rPr>
              <w:t>(万元)</w:t>
            </w:r>
          </w:p>
        </w:tc>
        <w:tc>
          <w:tcPr>
            <w:tcW w:w="1217" w:type="dxa"/>
            <w:noWrap w:val="0"/>
            <w:vAlign w:val="center"/>
          </w:tcPr>
          <w:p>
            <w:pPr>
              <w:spacing w:line="400" w:lineRule="exact"/>
              <w:jc w:val="center"/>
              <w:rPr>
                <w:sz w:val="24"/>
              </w:rPr>
            </w:pPr>
            <w:r>
              <w:rPr>
                <w:sz w:val="24"/>
              </w:rPr>
              <w:t>3086</w:t>
            </w:r>
          </w:p>
        </w:tc>
        <w:tc>
          <w:tcPr>
            <w:tcW w:w="1594" w:type="dxa"/>
            <w:gridSpan w:val="2"/>
            <w:noWrap w:val="0"/>
            <w:vAlign w:val="center"/>
          </w:tcPr>
          <w:p>
            <w:pPr>
              <w:spacing w:line="400" w:lineRule="exact"/>
              <w:jc w:val="center"/>
              <w:rPr>
                <w:sz w:val="28"/>
                <w:szCs w:val="28"/>
              </w:rPr>
            </w:pPr>
            <w:r>
              <w:rPr>
                <w:sz w:val="28"/>
                <w:szCs w:val="28"/>
              </w:rPr>
              <w:t>其中：环保投资(万元)</w:t>
            </w:r>
          </w:p>
        </w:tc>
        <w:tc>
          <w:tcPr>
            <w:tcW w:w="1444" w:type="dxa"/>
            <w:gridSpan w:val="2"/>
            <w:noWrap w:val="0"/>
            <w:vAlign w:val="center"/>
          </w:tcPr>
          <w:p>
            <w:pPr>
              <w:spacing w:line="360" w:lineRule="auto"/>
              <w:ind w:left="-162" w:leftChars="-77" w:firstLine="160" w:firstLineChars="67"/>
              <w:jc w:val="center"/>
              <w:rPr>
                <w:sz w:val="24"/>
              </w:rPr>
            </w:pPr>
            <w:r>
              <w:rPr>
                <w:sz w:val="24"/>
              </w:rPr>
              <w:t>18.5</w:t>
            </w:r>
          </w:p>
        </w:tc>
        <w:tc>
          <w:tcPr>
            <w:tcW w:w="1792" w:type="dxa"/>
            <w:gridSpan w:val="3"/>
            <w:noWrap w:val="0"/>
            <w:vAlign w:val="center"/>
          </w:tcPr>
          <w:p>
            <w:pPr>
              <w:spacing w:line="400" w:lineRule="exact"/>
              <w:jc w:val="center"/>
              <w:rPr>
                <w:sz w:val="28"/>
                <w:szCs w:val="28"/>
              </w:rPr>
            </w:pPr>
            <w:r>
              <w:rPr>
                <w:sz w:val="28"/>
                <w:szCs w:val="28"/>
              </w:rPr>
              <w:t>环保投资占总投资比例（%）</w:t>
            </w:r>
          </w:p>
        </w:tc>
        <w:tc>
          <w:tcPr>
            <w:tcW w:w="1008" w:type="dxa"/>
            <w:noWrap w:val="0"/>
            <w:vAlign w:val="center"/>
          </w:tcPr>
          <w:p>
            <w:pPr>
              <w:spacing w:line="400" w:lineRule="exact"/>
              <w:jc w:val="center"/>
              <w:rPr>
                <w:sz w:val="24"/>
              </w:rPr>
            </w:pPr>
            <w:r>
              <w:rPr>
                <w:sz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9" w:type="dxa"/>
            <w:tcBorders>
              <w:bottom w:val="nil"/>
            </w:tcBorders>
            <w:noWrap w:val="0"/>
            <w:vAlign w:val="center"/>
          </w:tcPr>
          <w:p>
            <w:pPr>
              <w:snapToGrid w:val="0"/>
              <w:spacing w:line="240" w:lineRule="atLeast"/>
              <w:jc w:val="center"/>
              <w:rPr>
                <w:sz w:val="28"/>
                <w:szCs w:val="28"/>
              </w:rPr>
            </w:pPr>
            <w:r>
              <w:rPr>
                <w:sz w:val="28"/>
                <w:szCs w:val="28"/>
              </w:rPr>
              <w:t>评价经费</w:t>
            </w:r>
          </w:p>
          <w:p>
            <w:pPr>
              <w:snapToGrid w:val="0"/>
              <w:spacing w:line="240" w:lineRule="atLeast"/>
              <w:jc w:val="center"/>
              <w:rPr>
                <w:sz w:val="28"/>
                <w:szCs w:val="28"/>
              </w:rPr>
            </w:pPr>
            <w:r>
              <w:rPr>
                <w:sz w:val="28"/>
                <w:szCs w:val="28"/>
              </w:rPr>
              <w:t>(万元)</w:t>
            </w:r>
          </w:p>
        </w:tc>
        <w:tc>
          <w:tcPr>
            <w:tcW w:w="1217" w:type="dxa"/>
            <w:tcBorders>
              <w:bottom w:val="nil"/>
            </w:tcBorders>
            <w:noWrap w:val="0"/>
            <w:vAlign w:val="center"/>
          </w:tcPr>
          <w:p>
            <w:pPr>
              <w:spacing w:line="400" w:lineRule="exact"/>
              <w:jc w:val="center"/>
              <w:rPr>
                <w:sz w:val="28"/>
                <w:szCs w:val="28"/>
              </w:rPr>
            </w:pPr>
          </w:p>
        </w:tc>
        <w:tc>
          <w:tcPr>
            <w:tcW w:w="1594" w:type="dxa"/>
            <w:gridSpan w:val="2"/>
            <w:tcBorders>
              <w:bottom w:val="nil"/>
            </w:tcBorders>
            <w:noWrap w:val="0"/>
            <w:vAlign w:val="center"/>
          </w:tcPr>
          <w:p>
            <w:pPr>
              <w:spacing w:line="400" w:lineRule="exact"/>
              <w:jc w:val="center"/>
              <w:rPr>
                <w:sz w:val="28"/>
                <w:szCs w:val="28"/>
              </w:rPr>
            </w:pPr>
            <w:r>
              <w:rPr>
                <w:sz w:val="28"/>
                <w:szCs w:val="28"/>
              </w:rPr>
              <w:t>预期投产日期</w:t>
            </w:r>
          </w:p>
        </w:tc>
        <w:tc>
          <w:tcPr>
            <w:tcW w:w="4244" w:type="dxa"/>
            <w:gridSpan w:val="6"/>
            <w:tcBorders>
              <w:bottom w:val="nil"/>
            </w:tcBorders>
            <w:noWrap w:val="0"/>
            <w:vAlign w:val="center"/>
          </w:tcPr>
          <w:p>
            <w:pPr>
              <w:spacing w:line="400" w:lineRule="exact"/>
              <w:jc w:val="center"/>
              <w:rPr>
                <w:sz w:val="24"/>
              </w:rPr>
            </w:pPr>
            <w:r>
              <w:rPr>
                <w:sz w:val="24"/>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jc w:val="center"/>
        </w:trPr>
        <w:tc>
          <w:tcPr>
            <w:tcW w:w="8604" w:type="dxa"/>
            <w:gridSpan w:val="10"/>
            <w:tcBorders>
              <w:bottom w:val="single" w:color="auto" w:sz="4" w:space="0"/>
            </w:tcBorders>
            <w:noWrap w:val="0"/>
            <w:vAlign w:val="top"/>
          </w:tcPr>
          <w:p>
            <w:pPr>
              <w:spacing w:line="480" w:lineRule="exact"/>
              <w:rPr>
                <w:rFonts w:hAnsi="宋体"/>
                <w:sz w:val="24"/>
              </w:rPr>
            </w:pPr>
            <w:r>
              <w:rPr>
                <w:rFonts w:hAnsi="宋体"/>
                <w:sz w:val="24"/>
              </w:rPr>
              <w:t>工程内容及规模：</w:t>
            </w:r>
          </w:p>
          <w:p>
            <w:pPr>
              <w:spacing w:line="480" w:lineRule="exact"/>
              <w:ind w:firstLine="480" w:firstLineChars="200"/>
              <w:rPr>
                <w:rFonts w:hAnsi="宋体"/>
                <w:sz w:val="24"/>
              </w:rPr>
            </w:pPr>
            <w:r>
              <w:rPr>
                <w:rFonts w:hAnsi="宋体"/>
                <w:sz w:val="24"/>
              </w:rPr>
              <w:t>1、项目建设必要性</w:t>
            </w:r>
          </w:p>
          <w:p>
            <w:pPr>
              <w:autoSpaceDE w:val="0"/>
              <w:autoSpaceDN w:val="0"/>
              <w:adjustRightInd w:val="0"/>
              <w:spacing w:line="480" w:lineRule="exact"/>
              <w:ind w:firstLine="480" w:firstLineChars="200"/>
              <w:jc w:val="left"/>
              <w:rPr>
                <w:rFonts w:hAnsi="宋体"/>
                <w:sz w:val="24"/>
              </w:rPr>
            </w:pPr>
            <w:r>
              <w:rPr>
                <w:rFonts w:hAnsi="宋体"/>
                <w:sz w:val="24"/>
              </w:rPr>
              <w:t>保定西北郊热电厂的建设可满足电谷、高开区快速增长的工业热负荷需要以及铁西区不断增长的采暖供热需要。同时，可替代本区域内大量污染严重、效率低的分散燃煤锅炉，优化资源利用，减少烟尘、二氧化硫等排放量，符合保定市整体发展规划，有利于改善当地及周边地区的环境状况，提高供热质量和人民生活水平。同时电厂在生产过程中使用城市中水，可大量节约宝贵的淡水资源。</w:t>
            </w:r>
          </w:p>
          <w:p>
            <w:pPr>
              <w:autoSpaceDE w:val="0"/>
              <w:autoSpaceDN w:val="0"/>
              <w:adjustRightInd w:val="0"/>
              <w:spacing w:line="480" w:lineRule="exact"/>
              <w:ind w:firstLine="480" w:firstLineChars="200"/>
              <w:jc w:val="left"/>
              <w:rPr>
                <w:rFonts w:hAnsi="宋体"/>
                <w:sz w:val="24"/>
              </w:rPr>
            </w:pPr>
            <w:r>
              <w:rPr>
                <w:rFonts w:hAnsi="宋体"/>
                <w:sz w:val="24"/>
              </w:rPr>
              <w:t>综上所述，建设保定西北郊热电厂一期2×350MW工程可满足河北南网负荷增长的需要，为当地热负荷提供热源，有助于节能减排，改善当地及周边地区的环境状况。为满足电厂电力尽快发挥作用，现开展西北郊热电220kV送出工程是必要的。</w:t>
            </w:r>
            <w:r>
              <w:rPr>
                <w:rFonts w:hint="eastAsia" w:hAnsi="宋体"/>
                <w:sz w:val="24"/>
              </w:rPr>
              <w:t xml:space="preserve"> </w:t>
            </w:r>
          </w:p>
          <w:p>
            <w:pPr>
              <w:spacing w:line="480" w:lineRule="exact"/>
              <w:ind w:firstLine="480" w:firstLineChars="200"/>
              <w:rPr>
                <w:rFonts w:hAnsi="宋体"/>
                <w:sz w:val="24"/>
              </w:rPr>
            </w:pPr>
            <w:r>
              <w:rPr>
                <w:rFonts w:hAnsi="宋体"/>
                <w:sz w:val="24"/>
              </w:rPr>
              <w:t>根据《中华人民共和国环境影响评价法》、《建设项目环境保护管理条例》和《建设项目环境影响评价分类管理名录》等有关规定，项目须进行环境影响评价。为此，2016年1月，河北圣洁环境生物科技工程有限公司受国网河北省电力公司保定供电分公司的委托（见附件），承担本项目的环境影响评价工作，并对本工程进行了实地踏勘和调查，收集了自然环境、社会环境及有关工程资料，在此基础上编制了本环境影响报告表。</w:t>
            </w:r>
          </w:p>
          <w:p>
            <w:pPr>
              <w:spacing w:line="480" w:lineRule="exact"/>
              <w:ind w:firstLine="480" w:firstLineChars="200"/>
              <w:rPr>
                <w:rFonts w:hAnsi="宋体"/>
                <w:sz w:val="24"/>
              </w:rPr>
            </w:pPr>
            <w:r>
              <w:rPr>
                <w:rFonts w:hAnsi="宋体"/>
                <w:sz w:val="24"/>
              </w:rPr>
              <w:t>2、本工程建设内容</w:t>
            </w:r>
          </w:p>
          <w:p>
            <w:pPr>
              <w:widowControl/>
              <w:spacing w:line="480" w:lineRule="exact"/>
              <w:ind w:firstLine="480" w:firstLineChars="200"/>
              <w:jc w:val="left"/>
              <w:rPr>
                <w:rFonts w:hAnsi="宋体"/>
                <w:sz w:val="24"/>
              </w:rPr>
            </w:pPr>
            <w:r>
              <w:rPr>
                <w:rFonts w:hAnsi="宋体"/>
                <w:sz w:val="24"/>
              </w:rPr>
              <w:t>西北郊电厂-电谷双回220kV线路工程线路长度约4.6km，导线型号为2×JL/G1A-630/45。地线两侧采用24芯OPGW，进线档为二根24芯OPGW、二根JLB40-150。本项目共用铁塔总计21基。其中：双回路耐张塔11基，双回路直线塔10基。</w:t>
            </w:r>
          </w:p>
          <w:p>
            <w:pPr>
              <w:spacing w:line="480" w:lineRule="exact"/>
              <w:ind w:firstLine="480" w:firstLineChars="200"/>
              <w:rPr>
                <w:rFonts w:hAnsi="宋体"/>
                <w:sz w:val="24"/>
              </w:rPr>
            </w:pPr>
            <w:r>
              <w:rPr>
                <w:rFonts w:hAnsi="宋体"/>
                <w:sz w:val="24"/>
              </w:rPr>
              <w:t>3、拟建线路路径描述</w:t>
            </w:r>
          </w:p>
          <w:p>
            <w:pPr>
              <w:spacing w:line="480" w:lineRule="exact"/>
              <w:ind w:firstLine="480" w:firstLineChars="200"/>
              <w:rPr>
                <w:rFonts w:hAnsi="宋体"/>
                <w:sz w:val="24"/>
              </w:rPr>
            </w:pPr>
            <w:r>
              <w:rPr>
                <w:rFonts w:hAnsi="宋体"/>
                <w:sz w:val="24"/>
              </w:rPr>
              <w:t>本工程线路位于保定市满城区境内，线路基本成西向东方向。为避让城镇规划设施用地及村落，线路局部进行绕行。</w:t>
            </w:r>
          </w:p>
          <w:p>
            <w:pPr>
              <w:spacing w:line="480" w:lineRule="exact"/>
              <w:ind w:firstLine="480" w:firstLineChars="200"/>
              <w:rPr>
                <w:rFonts w:hAnsi="宋体"/>
                <w:sz w:val="24"/>
              </w:rPr>
            </w:pPr>
            <w:r>
              <w:rPr>
                <w:rFonts w:hAnsi="宋体"/>
                <w:sz w:val="24"/>
              </w:rPr>
              <w:t>本工程线路起自西北郊电厂，向南出线后设立终端塔J1，左转沿南水北调配套输水工程地下管道</w:t>
            </w:r>
            <w:r>
              <w:rPr>
                <w:rFonts w:hint="eastAsia" w:hAnsi="宋体"/>
                <w:sz w:val="24"/>
              </w:rPr>
              <w:t>（该管道为热电厂东南角第二水表厂输水）</w:t>
            </w:r>
            <w:r>
              <w:rPr>
                <w:rFonts w:hAnsi="宋体"/>
                <w:sz w:val="24"/>
              </w:rPr>
              <w:t>北侧，跨过规划路后于贾庄村西南侧设立转角塔J2，右转局部避让房屋于小马坊村西侧设立转角塔J3，左转从南上坎村及小马坊村之间通行，此段路径基本沿规划道路及规划建设用地边缘，连续转角呈台阶状前行，依次设立转角塔J4、J5、J6、J7，于南上坎村东侧、小马坊村北侧设立转角塔J8，而后右转沿规划路南侧横穿新民居至西二环西侧绿化带设立转角塔J9，右转平行220kV保西-保北线路，至电谷站正西方向处设立转角塔J10左转，连续跨越110kV花大线、西二环设终端塔J11接入电谷站。</w:t>
            </w:r>
          </w:p>
          <w:p>
            <w:pPr>
              <w:spacing w:line="480" w:lineRule="exact"/>
              <w:ind w:firstLine="480" w:firstLineChars="200"/>
              <w:rPr>
                <w:rFonts w:hAnsi="宋体"/>
                <w:sz w:val="24"/>
              </w:rPr>
            </w:pPr>
            <w:r>
              <w:rPr>
                <w:rFonts w:hAnsi="宋体"/>
                <w:sz w:val="24"/>
              </w:rPr>
              <w:t>本工程新建路径长度约4.6km，线路转角11次。</w:t>
            </w:r>
          </w:p>
          <w:p>
            <w:pPr>
              <w:spacing w:line="480" w:lineRule="exact"/>
              <w:ind w:firstLine="480" w:firstLineChars="200"/>
              <w:rPr>
                <w:rFonts w:hAnsi="宋体"/>
                <w:sz w:val="24"/>
              </w:rPr>
            </w:pPr>
            <w:r>
              <w:rPr>
                <w:rFonts w:hAnsi="宋体"/>
                <w:sz w:val="24"/>
              </w:rPr>
              <w:t>线路路径图见附图1。</w:t>
            </w:r>
          </w:p>
          <w:p>
            <w:pPr>
              <w:spacing w:line="480" w:lineRule="exact"/>
              <w:ind w:firstLine="480" w:firstLineChars="200"/>
              <w:rPr>
                <w:rFonts w:hAnsi="宋体"/>
                <w:sz w:val="24"/>
              </w:rPr>
            </w:pPr>
            <w:r>
              <w:rPr>
                <w:rFonts w:hAnsi="宋体"/>
                <w:sz w:val="24"/>
              </w:rPr>
              <w:t>4、主要交叉跨越情况</w:t>
            </w:r>
          </w:p>
          <w:p>
            <w:pPr>
              <w:spacing w:line="480" w:lineRule="exact"/>
              <w:ind w:firstLine="480" w:firstLineChars="200"/>
              <w:jc w:val="center"/>
              <w:rPr>
                <w:rFonts w:hAnsi="宋体"/>
                <w:sz w:val="24"/>
              </w:rPr>
            </w:pPr>
          </w:p>
          <w:p>
            <w:pPr>
              <w:spacing w:line="480" w:lineRule="exact"/>
              <w:ind w:firstLine="480" w:firstLineChars="200"/>
              <w:jc w:val="center"/>
              <w:rPr>
                <w:rFonts w:hAnsi="宋体"/>
                <w:sz w:val="24"/>
              </w:rPr>
            </w:pPr>
          </w:p>
          <w:p>
            <w:pPr>
              <w:spacing w:line="480" w:lineRule="exact"/>
              <w:ind w:firstLine="480" w:firstLineChars="200"/>
              <w:jc w:val="center"/>
              <w:rPr>
                <w:rFonts w:hAnsi="宋体"/>
                <w:sz w:val="24"/>
              </w:rPr>
            </w:pPr>
          </w:p>
          <w:p>
            <w:pPr>
              <w:spacing w:line="480" w:lineRule="exact"/>
              <w:ind w:firstLine="480" w:firstLineChars="200"/>
              <w:jc w:val="center"/>
              <w:rPr>
                <w:rFonts w:hAnsi="宋体"/>
                <w:sz w:val="24"/>
              </w:rPr>
            </w:pPr>
          </w:p>
          <w:p>
            <w:pPr>
              <w:spacing w:line="480" w:lineRule="exact"/>
              <w:ind w:firstLine="480" w:firstLineChars="200"/>
              <w:jc w:val="center"/>
              <w:rPr>
                <w:rFonts w:hAnsi="宋体"/>
                <w:sz w:val="24"/>
              </w:rPr>
            </w:pPr>
          </w:p>
          <w:p>
            <w:pPr>
              <w:spacing w:line="480" w:lineRule="exact"/>
              <w:ind w:firstLine="420" w:firstLineChars="200"/>
              <w:jc w:val="center"/>
              <w:rPr>
                <w:rFonts w:hAnsi="宋体"/>
                <w:b/>
                <w:szCs w:val="21"/>
              </w:rPr>
            </w:pPr>
            <w:r>
              <w:rPr>
                <w:rFonts w:hAnsi="宋体"/>
                <w:b/>
                <w:szCs w:val="21"/>
              </w:rPr>
              <w:t>表1  保定西北郊热电送出工程主要交叉跨越、拆迁情况表</w:t>
            </w:r>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8"/>
              <w:gridCol w:w="1277"/>
              <w:gridCol w:w="1693"/>
              <w:gridCol w:w="1023"/>
              <w:gridCol w:w="23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名 称</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单位</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数量</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措施</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果树林</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km</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1</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苹果树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杨树林</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km</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1</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杨树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果树林立塔</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基</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5</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砍伐</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苹果树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杨树林立塔</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基</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5</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砍伐</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杨树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杨树</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棵</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500</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砍伐</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杨树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000" w:type="pct"/>
                  <w:gridSpan w:val="5"/>
                  <w:shd w:val="clear" w:color="auto" w:fill="auto"/>
                  <w:noWrap w:val="0"/>
                  <w:vAlign w:val="center"/>
                </w:tcPr>
                <w:p>
                  <w:pPr>
                    <w:widowControl/>
                    <w:spacing w:line="0" w:lineRule="atLeast"/>
                    <w:jc w:val="left"/>
                    <w:rPr>
                      <w:rFonts w:hAnsi="宋体"/>
                      <w:szCs w:val="21"/>
                    </w:rPr>
                  </w:pPr>
                  <w:r>
                    <w:rPr>
                      <w:rFonts w:hAnsi="宋体"/>
                      <w:szCs w:val="21"/>
                    </w:rPr>
                    <w:t>拆改：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房屋</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处(m</w:t>
                  </w:r>
                  <w:r>
                    <w:rPr>
                      <w:rFonts w:hAnsi="宋体"/>
                      <w:szCs w:val="21"/>
                      <w:vertAlign w:val="superscript"/>
                    </w:rPr>
                    <w:t>2</w:t>
                  </w:r>
                  <w:r>
                    <w:rPr>
                      <w:rFonts w:hAnsi="宋体"/>
                      <w:szCs w:val="21"/>
                    </w:rPr>
                    <w:t>)</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2（500）</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拆迁</w:t>
                  </w:r>
                </w:p>
              </w:tc>
              <w:tc>
                <w:tcPr>
                  <w:tcW w:w="1411" w:type="pct"/>
                  <w:vMerge w:val="restart"/>
                  <w:shd w:val="clear" w:color="auto" w:fill="auto"/>
                  <w:noWrap w:val="0"/>
                  <w:vAlign w:val="center"/>
                </w:tcPr>
                <w:p>
                  <w:pPr>
                    <w:widowControl/>
                    <w:spacing w:line="0" w:lineRule="atLeast"/>
                    <w:jc w:val="center"/>
                    <w:rPr>
                      <w:szCs w:val="21"/>
                    </w:rPr>
                  </w:pPr>
                  <w:r>
                    <w:rPr>
                      <w:rFonts w:hAnsi="宋体"/>
                      <w:szCs w:val="21"/>
                    </w:rPr>
                    <w:t>　</w:t>
                  </w:r>
                  <w:r>
                    <w:rPr>
                      <w:rFonts w:hint="eastAsia" w:hAnsi="宋体"/>
                      <w:szCs w:val="21"/>
                    </w:rPr>
                    <w:t>拆迁鸡舍及大棚位于</w:t>
                  </w:r>
                  <w:r>
                    <w:rPr>
                      <w:szCs w:val="21"/>
                    </w:rPr>
                    <w:t>小马坊西侧</w:t>
                  </w:r>
                </w:p>
                <w:p>
                  <w:pPr>
                    <w:widowControl/>
                    <w:spacing w:line="0" w:lineRule="atLeast"/>
                    <w:jc w:val="center"/>
                    <w:rPr>
                      <w:szCs w:val="21"/>
                    </w:rPr>
                  </w:pPr>
                  <w:r>
                    <w:rPr>
                      <w:szCs w:val="21"/>
                    </w:rPr>
                    <w:t>拆迁1#房屋坐标：经度：38°57′31.65″纬度：115°22′55.25″</w:t>
                  </w:r>
                </w:p>
                <w:p>
                  <w:pPr>
                    <w:widowControl/>
                    <w:spacing w:line="0" w:lineRule="atLeast"/>
                    <w:jc w:val="center"/>
                    <w:rPr>
                      <w:szCs w:val="21"/>
                    </w:rPr>
                  </w:pPr>
                  <w:r>
                    <w:rPr>
                      <w:szCs w:val="21"/>
                    </w:rPr>
                    <w:t>拆迁2#房屋坐标：经度：38°57′32.11″纬度：115°23′16.45″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鸡舍</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处(m</w:t>
                  </w:r>
                  <w:r>
                    <w:rPr>
                      <w:rFonts w:hAnsi="宋体"/>
                      <w:szCs w:val="21"/>
                      <w:vertAlign w:val="superscript"/>
                    </w:rPr>
                    <w:t>2</w:t>
                  </w:r>
                  <w:r>
                    <w:rPr>
                      <w:rFonts w:hAnsi="宋体"/>
                      <w:szCs w:val="21"/>
                    </w:rPr>
                    <w:t>)</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1（250）</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拆迁</w:t>
                  </w:r>
                </w:p>
              </w:tc>
              <w:tc>
                <w:tcPr>
                  <w:tcW w:w="1411" w:type="pct"/>
                  <w:vMerge w:val="continue"/>
                  <w:shd w:val="clear" w:color="auto" w:fill="auto"/>
                  <w:noWrap w:val="0"/>
                  <w:vAlign w:val="center"/>
                </w:tcPr>
                <w:p>
                  <w:pPr>
                    <w:spacing w:line="0" w:lineRule="atLeast"/>
                    <w:jc w:val="center"/>
                    <w:rPr>
                      <w:rFonts w:hAnsi="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大棚</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处</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2</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拆迁</w:t>
                  </w:r>
                </w:p>
              </w:tc>
              <w:tc>
                <w:tcPr>
                  <w:tcW w:w="1411" w:type="pct"/>
                  <w:vMerge w:val="continue"/>
                  <w:shd w:val="clear" w:color="auto" w:fill="auto"/>
                  <w:noWrap w:val="0"/>
                  <w:vAlign w:val="center"/>
                </w:tcPr>
                <w:p>
                  <w:pPr>
                    <w:spacing w:line="0" w:lineRule="atLeast"/>
                    <w:jc w:val="center"/>
                    <w:rPr>
                      <w:rFonts w:hAnsi="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坟</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处</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5</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搬迁</w:t>
                  </w:r>
                </w:p>
              </w:tc>
              <w:tc>
                <w:tcPr>
                  <w:tcW w:w="1411" w:type="pct"/>
                  <w:vMerge w:val="continue"/>
                  <w:shd w:val="clear" w:color="auto" w:fill="auto"/>
                  <w:noWrap w:val="0"/>
                  <w:vAlign w:val="center"/>
                </w:tcPr>
                <w:p>
                  <w:pPr>
                    <w:widowControl/>
                    <w:spacing w:line="0" w:lineRule="atLeast"/>
                    <w:jc w:val="center"/>
                    <w:rPr>
                      <w:rFonts w:hAnsi="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000" w:type="pct"/>
                  <w:gridSpan w:val="5"/>
                  <w:shd w:val="clear" w:color="auto" w:fill="auto"/>
                  <w:noWrap w:val="0"/>
                  <w:vAlign w:val="center"/>
                </w:tcPr>
                <w:p>
                  <w:pPr>
                    <w:widowControl/>
                    <w:spacing w:line="0" w:lineRule="atLeast"/>
                    <w:jc w:val="left"/>
                    <w:rPr>
                      <w:rFonts w:hAnsi="宋体"/>
                      <w:szCs w:val="21"/>
                    </w:rPr>
                  </w:pPr>
                  <w:r>
                    <w:rPr>
                      <w:rFonts w:hAnsi="宋体"/>
                      <w:szCs w:val="21"/>
                    </w:rPr>
                    <w:t>跨越：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110kV线路</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次</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1</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花大线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35kV线路</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次</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1</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水西线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10kV线路</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次</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5</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380V线路</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次</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5</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通信线</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次</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6</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铁路</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次</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1</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电厂配套铁路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int="eastAsia" w:hAnsi="宋体"/>
                      <w:szCs w:val="21"/>
                    </w:rPr>
                    <w:t>规划</w:t>
                  </w:r>
                  <w:r>
                    <w:rPr>
                      <w:rFonts w:hAnsi="宋体"/>
                      <w:szCs w:val="21"/>
                    </w:rPr>
                    <w:t>西二环</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次</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1</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等级公路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规划道路</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次</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6</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等级公路</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次</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3</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土路</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次</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10</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9" w:type="pct"/>
                  <w:shd w:val="clear" w:color="auto" w:fill="auto"/>
                  <w:noWrap w:val="0"/>
                  <w:vAlign w:val="center"/>
                </w:tcPr>
                <w:p>
                  <w:pPr>
                    <w:widowControl/>
                    <w:spacing w:line="0" w:lineRule="atLeast"/>
                    <w:jc w:val="center"/>
                    <w:rPr>
                      <w:rFonts w:hAnsi="宋体"/>
                      <w:szCs w:val="21"/>
                    </w:rPr>
                  </w:pPr>
                  <w:r>
                    <w:rPr>
                      <w:rFonts w:hAnsi="宋体"/>
                      <w:szCs w:val="21"/>
                    </w:rPr>
                    <w:t>大棚</w:t>
                  </w:r>
                </w:p>
              </w:tc>
              <w:tc>
                <w:tcPr>
                  <w:tcW w:w="761" w:type="pct"/>
                  <w:shd w:val="clear" w:color="auto" w:fill="auto"/>
                  <w:noWrap w:val="0"/>
                  <w:vAlign w:val="center"/>
                </w:tcPr>
                <w:p>
                  <w:pPr>
                    <w:widowControl/>
                    <w:spacing w:line="0" w:lineRule="atLeast"/>
                    <w:jc w:val="center"/>
                    <w:rPr>
                      <w:rFonts w:hAnsi="宋体"/>
                      <w:szCs w:val="21"/>
                    </w:rPr>
                  </w:pPr>
                  <w:r>
                    <w:rPr>
                      <w:rFonts w:hAnsi="宋体"/>
                      <w:szCs w:val="21"/>
                    </w:rPr>
                    <w:t>次</w:t>
                  </w:r>
                </w:p>
              </w:tc>
              <w:tc>
                <w:tcPr>
                  <w:tcW w:w="1009" w:type="pct"/>
                  <w:shd w:val="clear" w:color="auto" w:fill="auto"/>
                  <w:noWrap w:val="0"/>
                  <w:vAlign w:val="center"/>
                </w:tcPr>
                <w:p>
                  <w:pPr>
                    <w:widowControl/>
                    <w:spacing w:line="0" w:lineRule="atLeast"/>
                    <w:jc w:val="center"/>
                    <w:rPr>
                      <w:rFonts w:hAnsi="宋体"/>
                      <w:szCs w:val="21"/>
                    </w:rPr>
                  </w:pPr>
                  <w:r>
                    <w:rPr>
                      <w:rFonts w:hAnsi="宋体"/>
                      <w:szCs w:val="21"/>
                    </w:rPr>
                    <w:t>8</w:t>
                  </w:r>
                </w:p>
              </w:tc>
              <w:tc>
                <w:tcPr>
                  <w:tcW w:w="610" w:type="pct"/>
                  <w:shd w:val="clear" w:color="auto" w:fill="auto"/>
                  <w:noWrap w:val="0"/>
                  <w:vAlign w:val="center"/>
                </w:tcPr>
                <w:p>
                  <w:pPr>
                    <w:widowControl/>
                    <w:spacing w:line="0" w:lineRule="atLeast"/>
                    <w:jc w:val="center"/>
                    <w:rPr>
                      <w:rFonts w:hAnsi="宋体"/>
                      <w:szCs w:val="21"/>
                    </w:rPr>
                  </w:pPr>
                  <w:r>
                    <w:rPr>
                      <w:rFonts w:hAnsi="宋体"/>
                      <w:szCs w:val="21"/>
                    </w:rPr>
                    <w:t>跨越</w:t>
                  </w:r>
                </w:p>
              </w:tc>
              <w:tc>
                <w:tcPr>
                  <w:tcW w:w="1411" w:type="pct"/>
                  <w:shd w:val="clear" w:color="auto" w:fill="auto"/>
                  <w:noWrap w:val="0"/>
                  <w:vAlign w:val="center"/>
                </w:tcPr>
                <w:p>
                  <w:pPr>
                    <w:widowControl/>
                    <w:spacing w:line="0" w:lineRule="atLeast"/>
                    <w:jc w:val="center"/>
                    <w:rPr>
                      <w:rFonts w:hAnsi="宋体"/>
                      <w:szCs w:val="21"/>
                    </w:rPr>
                  </w:pPr>
                  <w:r>
                    <w:rPr>
                      <w:rFonts w:hAnsi="宋体"/>
                      <w:szCs w:val="21"/>
                    </w:rPr>
                    <w:t>　</w:t>
                  </w:r>
                </w:p>
              </w:tc>
            </w:tr>
          </w:tbl>
          <w:p>
            <w:pPr>
              <w:spacing w:line="480" w:lineRule="exact"/>
              <w:ind w:firstLine="480" w:firstLineChars="200"/>
              <w:rPr>
                <w:rFonts w:hAnsi="宋体"/>
                <w:sz w:val="24"/>
              </w:rPr>
            </w:pPr>
            <w:r>
              <w:rPr>
                <w:rFonts w:hAnsi="宋体"/>
                <w:sz w:val="24"/>
              </w:rPr>
              <w:t>5、本工程占地及土石方量</w:t>
            </w:r>
          </w:p>
          <w:p>
            <w:pPr>
              <w:spacing w:line="480" w:lineRule="exact"/>
              <w:ind w:firstLine="480" w:firstLineChars="200"/>
              <w:rPr>
                <w:rFonts w:hAnsi="宋体"/>
                <w:sz w:val="24"/>
              </w:rPr>
            </w:pPr>
            <w:r>
              <w:rPr>
                <w:rFonts w:hAnsi="宋体"/>
                <w:sz w:val="24"/>
              </w:rPr>
              <w:t>（1）永久占地</w:t>
            </w:r>
          </w:p>
          <w:p>
            <w:pPr>
              <w:spacing w:line="480" w:lineRule="exact"/>
              <w:ind w:firstLine="480" w:firstLineChars="200"/>
              <w:rPr>
                <w:rFonts w:hAnsi="宋体"/>
                <w:sz w:val="24"/>
              </w:rPr>
            </w:pPr>
            <w:r>
              <w:rPr>
                <w:rFonts w:hAnsi="宋体"/>
                <w:sz w:val="24"/>
              </w:rPr>
              <w:t>保定西北郊热电送出工程线路全长4.6km，全线</w:t>
            </w:r>
            <w:r>
              <w:rPr>
                <w:rFonts w:hint="eastAsia" w:hAnsi="宋体"/>
                <w:sz w:val="24"/>
              </w:rPr>
              <w:t>双</w:t>
            </w:r>
            <w:r>
              <w:rPr>
                <w:rFonts w:hAnsi="宋体"/>
                <w:sz w:val="24"/>
              </w:rPr>
              <w:t>回路铁塔架设，全线共需建杆塔21基，其中双回路耐张塔11基，双回路直线塔10基。工程永久占地约为2100m2。线路沿线全线为平原地区。</w:t>
            </w:r>
          </w:p>
          <w:p>
            <w:pPr>
              <w:spacing w:line="480" w:lineRule="exact"/>
              <w:ind w:firstLine="480" w:firstLineChars="200"/>
              <w:rPr>
                <w:rFonts w:hAnsi="宋体"/>
                <w:sz w:val="24"/>
              </w:rPr>
            </w:pPr>
            <w:r>
              <w:rPr>
                <w:rFonts w:hAnsi="宋体"/>
                <w:sz w:val="24"/>
              </w:rPr>
              <w:t>（2）临时占地</w:t>
            </w:r>
          </w:p>
          <w:p>
            <w:pPr>
              <w:spacing w:line="480" w:lineRule="exact"/>
              <w:ind w:firstLine="480" w:firstLineChars="200"/>
              <w:rPr>
                <w:rFonts w:hAnsi="宋体"/>
                <w:sz w:val="24"/>
              </w:rPr>
            </w:pPr>
            <w:r>
              <w:rPr>
                <w:rFonts w:hAnsi="宋体"/>
                <w:sz w:val="24"/>
              </w:rPr>
              <w:t>工程所用直线塔或耐张塔根据铁塔结构特点分解组立。导线采用张力牵引放线，防止导线磨损，所以每回线路都要设置牵张场地。</w:t>
            </w:r>
          </w:p>
          <w:p>
            <w:pPr>
              <w:spacing w:line="480" w:lineRule="exact"/>
              <w:ind w:firstLine="480" w:firstLineChars="200"/>
              <w:rPr>
                <w:rFonts w:hAnsi="宋体"/>
                <w:sz w:val="24"/>
              </w:rPr>
            </w:pPr>
            <w:r>
              <w:rPr>
                <w:rFonts w:hAnsi="宋体"/>
                <w:sz w:val="24"/>
              </w:rPr>
              <w:t>牵张场地的设置原则为：按不超过7km设置一处，或控制在塔位不超过16基的线路范围内。张力放线后应尽快进行架线，一般以张力放线施工段作紧线段，以直线塔为紧线操作塔。紧线完毕后应尽快进行耐张塔的附件安装和直线塔的线夹安装、防振金具和间隔棒的安装。</w:t>
            </w:r>
          </w:p>
          <w:p>
            <w:pPr>
              <w:spacing w:line="480" w:lineRule="exact"/>
              <w:ind w:firstLine="480" w:firstLineChars="200"/>
              <w:rPr>
                <w:rFonts w:hAnsi="宋体"/>
                <w:sz w:val="24"/>
              </w:rPr>
            </w:pPr>
            <w:r>
              <w:rPr>
                <w:rFonts w:hAnsi="宋体"/>
                <w:sz w:val="24"/>
              </w:rPr>
              <w:t>根据以上说明本工程线路长度4.6km，经计算本项目设置牵张场地约1处，属临时占地。牵张场占地2800m</w:t>
            </w:r>
            <w:r>
              <w:rPr>
                <w:rFonts w:hAnsi="宋体"/>
                <w:sz w:val="24"/>
                <w:vertAlign w:val="superscript"/>
              </w:rPr>
              <w:t>2</w:t>
            </w:r>
            <w:r>
              <w:rPr>
                <w:rFonts w:hAnsi="宋体"/>
                <w:sz w:val="24"/>
              </w:rPr>
              <w:t>，线路沿线全线为平原地区。</w:t>
            </w:r>
          </w:p>
          <w:p>
            <w:pPr>
              <w:spacing w:line="480" w:lineRule="exact"/>
              <w:ind w:firstLine="480" w:firstLineChars="200"/>
              <w:rPr>
                <w:rFonts w:hAnsi="宋体"/>
                <w:sz w:val="24"/>
              </w:rPr>
            </w:pPr>
            <w:r>
              <w:rPr>
                <w:rFonts w:hAnsi="宋体"/>
                <w:sz w:val="24"/>
              </w:rPr>
              <w:t>6、导线、地线与杆塔</w:t>
            </w:r>
          </w:p>
          <w:p>
            <w:pPr>
              <w:spacing w:line="480" w:lineRule="exact"/>
              <w:ind w:firstLine="480" w:firstLineChars="200"/>
              <w:rPr>
                <w:rFonts w:hAnsi="宋体"/>
                <w:sz w:val="24"/>
              </w:rPr>
            </w:pPr>
            <w:r>
              <w:rPr>
                <w:rFonts w:hAnsi="宋体"/>
                <w:sz w:val="24"/>
              </w:rPr>
              <w:t>本工程线路处于平原地区，对导线强度无特殊要求，故线路选用JL/G1A-630/45型钢芯铝绞线。每相双分裂，子导线垂直布置，分裂间距500mm。</w:t>
            </w:r>
          </w:p>
          <w:p>
            <w:pPr>
              <w:spacing w:line="480" w:lineRule="exact"/>
              <w:ind w:firstLine="480" w:firstLineChars="200"/>
              <w:rPr>
                <w:rFonts w:hAnsi="宋体"/>
                <w:sz w:val="24"/>
              </w:rPr>
            </w:pPr>
            <w:r>
              <w:rPr>
                <w:rFonts w:hAnsi="宋体"/>
                <w:sz w:val="24"/>
              </w:rPr>
              <w:t>地线两侧采用24芯OPGW，进线档为二根24芯OPGW、二根JLB40-150。</w:t>
            </w:r>
          </w:p>
          <w:p>
            <w:pPr>
              <w:spacing w:line="480" w:lineRule="exact"/>
              <w:ind w:firstLine="480" w:firstLineChars="200"/>
              <w:rPr>
                <w:rFonts w:hAnsi="宋体"/>
                <w:sz w:val="24"/>
              </w:rPr>
            </w:pPr>
            <w:r>
              <w:rPr>
                <w:rFonts w:hAnsi="宋体"/>
                <w:sz w:val="24"/>
              </w:rPr>
              <w:t>按照上述工程特点和设计条件，铁塔推荐采用国家电网公司典型设计2F3、2F4模块塔型，全部铁塔推荐使用自立式铁塔，塔型分述如下：</w:t>
            </w:r>
          </w:p>
          <w:p>
            <w:pPr>
              <w:spacing w:line="480" w:lineRule="exact"/>
              <w:ind w:firstLine="480" w:firstLineChars="200"/>
              <w:rPr>
                <w:rFonts w:hAnsi="宋体"/>
                <w:sz w:val="24"/>
              </w:rPr>
            </w:pPr>
            <w:r>
              <w:rPr>
                <w:rFonts w:hAnsi="宋体"/>
                <w:sz w:val="24"/>
              </w:rPr>
              <w:t>本项目220kV线路工程选用杆塔如表2所示。</w:t>
            </w:r>
          </w:p>
          <w:p>
            <w:pPr>
              <w:snapToGrid w:val="0"/>
              <w:spacing w:line="480" w:lineRule="exact"/>
              <w:jc w:val="center"/>
              <w:rPr>
                <w:rFonts w:hAnsi="宋体"/>
                <w:b/>
                <w:szCs w:val="21"/>
              </w:rPr>
            </w:pPr>
            <w:r>
              <w:rPr>
                <w:rFonts w:hAnsi="宋体"/>
                <w:b/>
                <w:szCs w:val="21"/>
              </w:rPr>
              <w:t>表2  杆塔使用条件一览表</w:t>
            </w:r>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18"/>
              <w:gridCol w:w="2693"/>
              <w:gridCol w:w="2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99" w:type="pct"/>
                  <w:shd w:val="clear" w:color="auto" w:fill="auto"/>
                  <w:noWrap/>
                  <w:vAlign w:val="center"/>
                </w:tcPr>
                <w:p>
                  <w:pPr>
                    <w:widowControl/>
                    <w:spacing w:line="0" w:lineRule="atLeast"/>
                    <w:jc w:val="center"/>
                    <w:rPr>
                      <w:rFonts w:hAnsi="宋体"/>
                      <w:szCs w:val="21"/>
                    </w:rPr>
                  </w:pPr>
                  <w:r>
                    <w:rPr>
                      <w:rFonts w:hAnsi="宋体"/>
                      <w:szCs w:val="21"/>
                    </w:rPr>
                    <w:t>杆塔型号</w:t>
                  </w:r>
                </w:p>
              </w:tc>
              <w:tc>
                <w:tcPr>
                  <w:tcW w:w="1605" w:type="pct"/>
                  <w:shd w:val="clear" w:color="auto" w:fill="auto"/>
                  <w:noWrap/>
                  <w:vAlign w:val="center"/>
                </w:tcPr>
                <w:p>
                  <w:pPr>
                    <w:widowControl/>
                    <w:spacing w:line="0" w:lineRule="atLeast"/>
                    <w:jc w:val="center"/>
                    <w:rPr>
                      <w:rFonts w:hAnsi="宋体"/>
                      <w:szCs w:val="21"/>
                    </w:rPr>
                  </w:pPr>
                  <w:r>
                    <w:rPr>
                      <w:rFonts w:hAnsi="宋体"/>
                      <w:szCs w:val="21"/>
                    </w:rPr>
                    <w:t>呼高</w:t>
                  </w:r>
                </w:p>
              </w:tc>
              <w:tc>
                <w:tcPr>
                  <w:tcW w:w="1596" w:type="pct"/>
                  <w:shd w:val="clear" w:color="auto" w:fill="auto"/>
                  <w:noWrap/>
                  <w:vAlign w:val="center"/>
                </w:tcPr>
                <w:p>
                  <w:pPr>
                    <w:widowControl/>
                    <w:spacing w:line="0" w:lineRule="atLeast"/>
                    <w:jc w:val="center"/>
                    <w:rPr>
                      <w:rFonts w:hAnsi="宋体"/>
                      <w:szCs w:val="21"/>
                    </w:rPr>
                  </w:pPr>
                  <w:r>
                    <w:rPr>
                      <w:rFonts w:hAnsi="宋体"/>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99" w:type="pct"/>
                  <w:shd w:val="clear" w:color="auto" w:fill="auto"/>
                  <w:noWrap/>
                  <w:vAlign w:val="center"/>
                </w:tcPr>
                <w:p>
                  <w:pPr>
                    <w:widowControl/>
                    <w:spacing w:line="0" w:lineRule="atLeast"/>
                    <w:jc w:val="center"/>
                    <w:rPr>
                      <w:rFonts w:hAnsi="宋体"/>
                      <w:szCs w:val="21"/>
                    </w:rPr>
                  </w:pPr>
                  <w:r>
                    <w:rPr>
                      <w:rFonts w:hAnsi="宋体"/>
                      <w:szCs w:val="21"/>
                    </w:rPr>
                    <w:t>2F4-SDJ</w:t>
                  </w:r>
                </w:p>
              </w:tc>
              <w:tc>
                <w:tcPr>
                  <w:tcW w:w="1605" w:type="pct"/>
                  <w:shd w:val="clear" w:color="auto" w:fill="auto"/>
                  <w:noWrap/>
                  <w:vAlign w:val="center"/>
                </w:tcPr>
                <w:p>
                  <w:pPr>
                    <w:widowControl/>
                    <w:spacing w:line="0" w:lineRule="atLeast"/>
                    <w:jc w:val="center"/>
                    <w:rPr>
                      <w:rFonts w:hAnsi="宋体"/>
                      <w:szCs w:val="21"/>
                    </w:rPr>
                  </w:pPr>
                  <w:r>
                    <w:rPr>
                      <w:rFonts w:hAnsi="宋体"/>
                      <w:szCs w:val="21"/>
                    </w:rPr>
                    <w:t>18</w:t>
                  </w:r>
                </w:p>
              </w:tc>
              <w:tc>
                <w:tcPr>
                  <w:tcW w:w="1596" w:type="pct"/>
                  <w:shd w:val="clear" w:color="auto" w:fill="auto"/>
                  <w:noWrap/>
                  <w:vAlign w:val="center"/>
                </w:tcPr>
                <w:p>
                  <w:pPr>
                    <w:widowControl/>
                    <w:spacing w:line="0" w:lineRule="atLeast"/>
                    <w:jc w:val="center"/>
                    <w:rPr>
                      <w:rFonts w:hAnsi="宋体"/>
                      <w:szCs w:val="21"/>
                    </w:rPr>
                  </w:pPr>
                  <w:r>
                    <w:rPr>
                      <w:rFonts w:hAnsi="宋体"/>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99" w:type="pct"/>
                  <w:shd w:val="clear" w:color="auto" w:fill="auto"/>
                  <w:noWrap/>
                  <w:vAlign w:val="center"/>
                </w:tcPr>
                <w:p>
                  <w:pPr>
                    <w:widowControl/>
                    <w:spacing w:line="0" w:lineRule="atLeast"/>
                    <w:jc w:val="center"/>
                    <w:rPr>
                      <w:rFonts w:hAnsi="宋体"/>
                      <w:szCs w:val="21"/>
                    </w:rPr>
                  </w:pPr>
                  <w:r>
                    <w:rPr>
                      <w:rFonts w:hAnsi="宋体"/>
                      <w:szCs w:val="21"/>
                    </w:rPr>
                    <w:t>2F4-SJ1</w:t>
                  </w:r>
                </w:p>
              </w:tc>
              <w:tc>
                <w:tcPr>
                  <w:tcW w:w="1605" w:type="pct"/>
                  <w:shd w:val="clear" w:color="auto" w:fill="auto"/>
                  <w:noWrap/>
                  <w:vAlign w:val="center"/>
                </w:tcPr>
                <w:p>
                  <w:pPr>
                    <w:widowControl/>
                    <w:spacing w:line="0" w:lineRule="atLeast"/>
                    <w:jc w:val="center"/>
                    <w:rPr>
                      <w:rFonts w:hAnsi="宋体"/>
                      <w:szCs w:val="21"/>
                    </w:rPr>
                  </w:pPr>
                  <w:r>
                    <w:rPr>
                      <w:rFonts w:hAnsi="宋体"/>
                      <w:szCs w:val="21"/>
                    </w:rPr>
                    <w:t>18</w:t>
                  </w:r>
                </w:p>
              </w:tc>
              <w:tc>
                <w:tcPr>
                  <w:tcW w:w="1596" w:type="pct"/>
                  <w:shd w:val="clear" w:color="auto" w:fill="auto"/>
                  <w:noWrap/>
                  <w:vAlign w:val="center"/>
                </w:tcPr>
                <w:p>
                  <w:pPr>
                    <w:widowControl/>
                    <w:spacing w:line="0" w:lineRule="atLeast"/>
                    <w:jc w:val="center"/>
                    <w:rPr>
                      <w:rFonts w:hAnsi="宋体"/>
                      <w:szCs w:val="21"/>
                    </w:rPr>
                  </w:pPr>
                  <w:r>
                    <w:rPr>
                      <w:rFonts w:hAnsi="宋体"/>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99" w:type="pct"/>
                  <w:vMerge w:val="restart"/>
                  <w:shd w:val="clear" w:color="auto" w:fill="auto"/>
                  <w:noWrap/>
                  <w:vAlign w:val="center"/>
                </w:tcPr>
                <w:p>
                  <w:pPr>
                    <w:widowControl/>
                    <w:spacing w:line="0" w:lineRule="atLeast"/>
                    <w:jc w:val="center"/>
                    <w:rPr>
                      <w:rFonts w:hAnsi="宋体"/>
                      <w:szCs w:val="21"/>
                    </w:rPr>
                  </w:pPr>
                  <w:r>
                    <w:rPr>
                      <w:rFonts w:hAnsi="宋体"/>
                      <w:szCs w:val="21"/>
                    </w:rPr>
                    <w:t>2F4-SJ4</w:t>
                  </w:r>
                </w:p>
              </w:tc>
              <w:tc>
                <w:tcPr>
                  <w:tcW w:w="1605" w:type="pct"/>
                  <w:shd w:val="clear" w:color="auto" w:fill="auto"/>
                  <w:noWrap/>
                  <w:vAlign w:val="center"/>
                </w:tcPr>
                <w:p>
                  <w:pPr>
                    <w:widowControl/>
                    <w:spacing w:line="0" w:lineRule="atLeast"/>
                    <w:jc w:val="center"/>
                    <w:rPr>
                      <w:rFonts w:hAnsi="宋体"/>
                      <w:szCs w:val="21"/>
                    </w:rPr>
                  </w:pPr>
                  <w:r>
                    <w:rPr>
                      <w:rFonts w:hAnsi="宋体"/>
                      <w:szCs w:val="21"/>
                    </w:rPr>
                    <w:t>18</w:t>
                  </w:r>
                </w:p>
              </w:tc>
              <w:tc>
                <w:tcPr>
                  <w:tcW w:w="1596" w:type="pct"/>
                  <w:shd w:val="clear" w:color="auto" w:fill="auto"/>
                  <w:noWrap/>
                  <w:vAlign w:val="center"/>
                </w:tcPr>
                <w:p>
                  <w:pPr>
                    <w:widowControl/>
                    <w:spacing w:line="0" w:lineRule="atLeast"/>
                    <w:jc w:val="center"/>
                    <w:rPr>
                      <w:rFonts w:hAnsi="宋体"/>
                      <w:szCs w:val="21"/>
                    </w:rPr>
                  </w:pPr>
                  <w:r>
                    <w:rPr>
                      <w:rFonts w:hAnsi="宋体"/>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99" w:type="pct"/>
                  <w:vMerge w:val="continue"/>
                  <w:shd w:val="clear" w:color="auto" w:fill="auto"/>
                  <w:noWrap w:val="0"/>
                  <w:vAlign w:val="center"/>
                </w:tcPr>
                <w:p>
                  <w:pPr>
                    <w:widowControl/>
                    <w:spacing w:line="0" w:lineRule="atLeast"/>
                    <w:jc w:val="left"/>
                    <w:rPr>
                      <w:rFonts w:hAnsi="宋体"/>
                      <w:szCs w:val="21"/>
                    </w:rPr>
                  </w:pPr>
                </w:p>
              </w:tc>
              <w:tc>
                <w:tcPr>
                  <w:tcW w:w="1605" w:type="pct"/>
                  <w:shd w:val="clear" w:color="auto" w:fill="auto"/>
                  <w:noWrap/>
                  <w:vAlign w:val="center"/>
                </w:tcPr>
                <w:p>
                  <w:pPr>
                    <w:widowControl/>
                    <w:spacing w:line="0" w:lineRule="atLeast"/>
                    <w:jc w:val="center"/>
                    <w:rPr>
                      <w:rFonts w:hAnsi="宋体"/>
                      <w:szCs w:val="21"/>
                    </w:rPr>
                  </w:pPr>
                  <w:r>
                    <w:rPr>
                      <w:rFonts w:hAnsi="宋体"/>
                      <w:szCs w:val="21"/>
                    </w:rPr>
                    <w:t>30</w:t>
                  </w:r>
                </w:p>
              </w:tc>
              <w:tc>
                <w:tcPr>
                  <w:tcW w:w="1596" w:type="pct"/>
                  <w:shd w:val="clear" w:color="auto" w:fill="auto"/>
                  <w:noWrap/>
                  <w:vAlign w:val="center"/>
                </w:tcPr>
                <w:p>
                  <w:pPr>
                    <w:widowControl/>
                    <w:spacing w:line="0" w:lineRule="atLeast"/>
                    <w:jc w:val="center"/>
                    <w:rPr>
                      <w:rFonts w:hAnsi="宋体"/>
                      <w:szCs w:val="21"/>
                    </w:rPr>
                  </w:pPr>
                  <w:r>
                    <w:rPr>
                      <w:rFonts w:hAnsi="宋体"/>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99" w:type="pct"/>
                  <w:shd w:val="clear" w:color="auto" w:fill="auto"/>
                  <w:noWrap/>
                  <w:vAlign w:val="center"/>
                </w:tcPr>
                <w:p>
                  <w:pPr>
                    <w:widowControl/>
                    <w:spacing w:line="0" w:lineRule="atLeast"/>
                    <w:jc w:val="center"/>
                    <w:rPr>
                      <w:rFonts w:hAnsi="宋体"/>
                      <w:szCs w:val="21"/>
                    </w:rPr>
                  </w:pPr>
                  <w:r>
                    <w:rPr>
                      <w:rFonts w:hAnsi="宋体"/>
                      <w:szCs w:val="21"/>
                    </w:rPr>
                    <w:t>2F3-SZ1</w:t>
                  </w:r>
                </w:p>
              </w:tc>
              <w:tc>
                <w:tcPr>
                  <w:tcW w:w="1605" w:type="pct"/>
                  <w:shd w:val="clear" w:color="auto" w:fill="auto"/>
                  <w:noWrap/>
                  <w:vAlign w:val="center"/>
                </w:tcPr>
                <w:p>
                  <w:pPr>
                    <w:widowControl/>
                    <w:spacing w:line="0" w:lineRule="atLeast"/>
                    <w:jc w:val="center"/>
                    <w:rPr>
                      <w:rFonts w:hAnsi="宋体"/>
                      <w:szCs w:val="21"/>
                    </w:rPr>
                  </w:pPr>
                  <w:r>
                    <w:rPr>
                      <w:rFonts w:hAnsi="宋体"/>
                      <w:szCs w:val="21"/>
                    </w:rPr>
                    <w:t>27</w:t>
                  </w:r>
                </w:p>
              </w:tc>
              <w:tc>
                <w:tcPr>
                  <w:tcW w:w="1596" w:type="pct"/>
                  <w:shd w:val="clear" w:color="auto" w:fill="auto"/>
                  <w:noWrap/>
                  <w:vAlign w:val="center"/>
                </w:tcPr>
                <w:p>
                  <w:pPr>
                    <w:widowControl/>
                    <w:spacing w:line="0" w:lineRule="atLeast"/>
                    <w:jc w:val="center"/>
                    <w:rPr>
                      <w:rFonts w:hAnsi="宋体"/>
                      <w:szCs w:val="21"/>
                    </w:rPr>
                  </w:pPr>
                  <w:r>
                    <w:rPr>
                      <w:rFonts w:hAnsi="宋体"/>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99" w:type="pct"/>
                  <w:vMerge w:val="restart"/>
                  <w:shd w:val="clear" w:color="auto" w:fill="auto"/>
                  <w:noWrap/>
                  <w:vAlign w:val="center"/>
                </w:tcPr>
                <w:p>
                  <w:pPr>
                    <w:widowControl/>
                    <w:spacing w:line="0" w:lineRule="atLeast"/>
                    <w:jc w:val="center"/>
                    <w:rPr>
                      <w:rFonts w:hAnsi="宋体"/>
                      <w:szCs w:val="21"/>
                    </w:rPr>
                  </w:pPr>
                  <w:r>
                    <w:rPr>
                      <w:rFonts w:hAnsi="宋体"/>
                      <w:szCs w:val="21"/>
                    </w:rPr>
                    <w:t>2F3-SZ2</w:t>
                  </w:r>
                </w:p>
              </w:tc>
              <w:tc>
                <w:tcPr>
                  <w:tcW w:w="1605" w:type="pct"/>
                  <w:shd w:val="clear" w:color="auto" w:fill="auto"/>
                  <w:noWrap/>
                  <w:vAlign w:val="center"/>
                </w:tcPr>
                <w:p>
                  <w:pPr>
                    <w:widowControl/>
                    <w:spacing w:line="0" w:lineRule="atLeast"/>
                    <w:jc w:val="center"/>
                    <w:rPr>
                      <w:rFonts w:hAnsi="宋体"/>
                      <w:szCs w:val="21"/>
                    </w:rPr>
                  </w:pPr>
                  <w:r>
                    <w:rPr>
                      <w:rFonts w:hAnsi="宋体"/>
                      <w:szCs w:val="21"/>
                    </w:rPr>
                    <w:t>27</w:t>
                  </w:r>
                </w:p>
              </w:tc>
              <w:tc>
                <w:tcPr>
                  <w:tcW w:w="1596" w:type="pct"/>
                  <w:shd w:val="clear" w:color="auto" w:fill="auto"/>
                  <w:noWrap/>
                  <w:vAlign w:val="center"/>
                </w:tcPr>
                <w:p>
                  <w:pPr>
                    <w:widowControl/>
                    <w:spacing w:line="0" w:lineRule="atLeast"/>
                    <w:jc w:val="center"/>
                    <w:rPr>
                      <w:rFonts w:hAnsi="宋体"/>
                      <w:szCs w:val="21"/>
                    </w:rPr>
                  </w:pPr>
                  <w:r>
                    <w:rPr>
                      <w:rFonts w:hAnsi="宋体"/>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99" w:type="pct"/>
                  <w:vMerge w:val="continue"/>
                  <w:shd w:val="clear" w:color="auto" w:fill="auto"/>
                  <w:noWrap w:val="0"/>
                  <w:vAlign w:val="center"/>
                </w:tcPr>
                <w:p>
                  <w:pPr>
                    <w:widowControl/>
                    <w:spacing w:line="0" w:lineRule="atLeast"/>
                    <w:jc w:val="left"/>
                    <w:rPr>
                      <w:rFonts w:hAnsi="宋体"/>
                      <w:szCs w:val="21"/>
                    </w:rPr>
                  </w:pPr>
                </w:p>
              </w:tc>
              <w:tc>
                <w:tcPr>
                  <w:tcW w:w="1605" w:type="pct"/>
                  <w:shd w:val="clear" w:color="auto" w:fill="auto"/>
                  <w:noWrap/>
                  <w:vAlign w:val="center"/>
                </w:tcPr>
                <w:p>
                  <w:pPr>
                    <w:widowControl/>
                    <w:spacing w:line="0" w:lineRule="atLeast"/>
                    <w:jc w:val="center"/>
                    <w:rPr>
                      <w:rFonts w:hAnsi="宋体"/>
                      <w:szCs w:val="21"/>
                    </w:rPr>
                  </w:pPr>
                  <w:r>
                    <w:rPr>
                      <w:rFonts w:hAnsi="宋体"/>
                      <w:szCs w:val="21"/>
                    </w:rPr>
                    <w:t>33</w:t>
                  </w:r>
                </w:p>
              </w:tc>
              <w:tc>
                <w:tcPr>
                  <w:tcW w:w="1596" w:type="pct"/>
                  <w:shd w:val="clear" w:color="auto" w:fill="auto"/>
                  <w:noWrap/>
                  <w:vAlign w:val="center"/>
                </w:tcPr>
                <w:p>
                  <w:pPr>
                    <w:widowControl/>
                    <w:spacing w:line="0" w:lineRule="atLeast"/>
                    <w:jc w:val="center"/>
                    <w:rPr>
                      <w:rFonts w:hAnsi="宋体"/>
                      <w:szCs w:val="21"/>
                    </w:rPr>
                  </w:pPr>
                  <w:r>
                    <w:rPr>
                      <w:rFonts w:hAnsi="宋体"/>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99" w:type="pct"/>
                  <w:vMerge w:val="continue"/>
                  <w:shd w:val="clear" w:color="auto" w:fill="auto"/>
                  <w:noWrap w:val="0"/>
                  <w:vAlign w:val="center"/>
                </w:tcPr>
                <w:p>
                  <w:pPr>
                    <w:widowControl/>
                    <w:spacing w:line="0" w:lineRule="atLeast"/>
                    <w:jc w:val="left"/>
                    <w:rPr>
                      <w:rFonts w:hAnsi="宋体"/>
                      <w:szCs w:val="21"/>
                    </w:rPr>
                  </w:pPr>
                </w:p>
              </w:tc>
              <w:tc>
                <w:tcPr>
                  <w:tcW w:w="1605" w:type="pct"/>
                  <w:shd w:val="clear" w:color="auto" w:fill="auto"/>
                  <w:noWrap/>
                  <w:vAlign w:val="center"/>
                </w:tcPr>
                <w:p>
                  <w:pPr>
                    <w:widowControl/>
                    <w:spacing w:line="0" w:lineRule="atLeast"/>
                    <w:jc w:val="center"/>
                    <w:rPr>
                      <w:rFonts w:hAnsi="宋体"/>
                      <w:szCs w:val="21"/>
                    </w:rPr>
                  </w:pPr>
                  <w:r>
                    <w:rPr>
                      <w:rFonts w:hAnsi="宋体"/>
                      <w:szCs w:val="21"/>
                    </w:rPr>
                    <w:t>39</w:t>
                  </w:r>
                </w:p>
              </w:tc>
              <w:tc>
                <w:tcPr>
                  <w:tcW w:w="1596" w:type="pct"/>
                  <w:shd w:val="clear" w:color="auto" w:fill="auto"/>
                  <w:noWrap/>
                  <w:vAlign w:val="center"/>
                </w:tcPr>
                <w:p>
                  <w:pPr>
                    <w:widowControl/>
                    <w:spacing w:line="0" w:lineRule="atLeast"/>
                    <w:jc w:val="center"/>
                    <w:rPr>
                      <w:rFonts w:hAnsi="宋体"/>
                      <w:szCs w:val="21"/>
                    </w:rPr>
                  </w:pPr>
                  <w:r>
                    <w:rPr>
                      <w:rFonts w:hAnsi="宋体"/>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99" w:type="pct"/>
                  <w:vMerge w:val="continue"/>
                  <w:shd w:val="clear" w:color="auto" w:fill="auto"/>
                  <w:noWrap w:val="0"/>
                  <w:vAlign w:val="center"/>
                </w:tcPr>
                <w:p>
                  <w:pPr>
                    <w:widowControl/>
                    <w:spacing w:line="0" w:lineRule="atLeast"/>
                    <w:jc w:val="left"/>
                    <w:rPr>
                      <w:rFonts w:hAnsi="宋体"/>
                      <w:szCs w:val="21"/>
                    </w:rPr>
                  </w:pPr>
                </w:p>
              </w:tc>
              <w:tc>
                <w:tcPr>
                  <w:tcW w:w="1605" w:type="pct"/>
                  <w:shd w:val="clear" w:color="auto" w:fill="auto"/>
                  <w:noWrap/>
                  <w:vAlign w:val="center"/>
                </w:tcPr>
                <w:p>
                  <w:pPr>
                    <w:widowControl/>
                    <w:spacing w:line="0" w:lineRule="atLeast"/>
                    <w:jc w:val="center"/>
                    <w:rPr>
                      <w:rFonts w:hAnsi="宋体"/>
                      <w:szCs w:val="21"/>
                    </w:rPr>
                  </w:pPr>
                  <w:r>
                    <w:rPr>
                      <w:rFonts w:hAnsi="宋体"/>
                      <w:szCs w:val="21"/>
                    </w:rPr>
                    <w:t>42</w:t>
                  </w:r>
                </w:p>
              </w:tc>
              <w:tc>
                <w:tcPr>
                  <w:tcW w:w="1596" w:type="pct"/>
                  <w:shd w:val="clear" w:color="auto" w:fill="auto"/>
                  <w:noWrap/>
                  <w:vAlign w:val="center"/>
                </w:tcPr>
                <w:p>
                  <w:pPr>
                    <w:widowControl/>
                    <w:spacing w:line="0" w:lineRule="atLeast"/>
                    <w:jc w:val="center"/>
                    <w:rPr>
                      <w:rFonts w:hAnsi="宋体"/>
                      <w:szCs w:val="21"/>
                    </w:rPr>
                  </w:pPr>
                  <w:r>
                    <w:rPr>
                      <w:rFonts w:hAnsi="宋体"/>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404" w:type="pct"/>
                  <w:gridSpan w:val="2"/>
                  <w:shd w:val="clear" w:color="auto" w:fill="auto"/>
                  <w:noWrap/>
                  <w:vAlign w:val="center"/>
                </w:tcPr>
                <w:p>
                  <w:pPr>
                    <w:widowControl/>
                    <w:spacing w:line="0" w:lineRule="atLeast"/>
                    <w:jc w:val="center"/>
                    <w:rPr>
                      <w:rFonts w:hAnsi="宋体"/>
                      <w:szCs w:val="21"/>
                    </w:rPr>
                  </w:pPr>
                  <w:r>
                    <w:rPr>
                      <w:rFonts w:hAnsi="宋体"/>
                      <w:szCs w:val="21"/>
                    </w:rPr>
                    <w:t>合计</w:t>
                  </w:r>
                </w:p>
              </w:tc>
              <w:tc>
                <w:tcPr>
                  <w:tcW w:w="1596" w:type="pct"/>
                  <w:shd w:val="clear" w:color="auto" w:fill="auto"/>
                  <w:noWrap/>
                  <w:vAlign w:val="center"/>
                </w:tcPr>
                <w:p>
                  <w:pPr>
                    <w:widowControl/>
                    <w:spacing w:line="0" w:lineRule="atLeast"/>
                    <w:jc w:val="center"/>
                    <w:rPr>
                      <w:rFonts w:hAnsi="宋体"/>
                      <w:szCs w:val="21"/>
                    </w:rPr>
                  </w:pPr>
                  <w:r>
                    <w:rPr>
                      <w:rFonts w:hAnsi="宋体"/>
                      <w:szCs w:val="21"/>
                    </w:rPr>
                    <w:t>21</w:t>
                  </w:r>
                </w:p>
              </w:tc>
            </w:tr>
          </w:tbl>
          <w:p>
            <w:pPr>
              <w:pStyle w:val="21"/>
              <w:spacing w:line="480" w:lineRule="exact"/>
              <w:ind w:firstLine="480" w:firstLineChars="200"/>
              <w:rPr>
                <w:rFonts w:ascii="Times New Roman" w:hAnsi="宋体"/>
                <w:sz w:val="24"/>
                <w:szCs w:val="24"/>
              </w:rPr>
            </w:pPr>
            <w:r>
              <w:rPr>
                <w:rFonts w:ascii="Times New Roman" w:hAnsi="宋体"/>
                <w:sz w:val="24"/>
                <w:szCs w:val="24"/>
              </w:rPr>
              <w:t>7、编制依据</w:t>
            </w:r>
          </w:p>
          <w:p>
            <w:pPr>
              <w:spacing w:line="480" w:lineRule="exact"/>
              <w:ind w:firstLine="480" w:firstLineChars="200"/>
              <w:rPr>
                <w:rFonts w:hAnsi="宋体"/>
                <w:sz w:val="24"/>
              </w:rPr>
            </w:pPr>
            <w:r>
              <w:rPr>
                <w:rFonts w:hAnsi="宋体"/>
                <w:sz w:val="24"/>
              </w:rPr>
              <w:t>（1）法律、法规</w:t>
            </w:r>
          </w:p>
          <w:p>
            <w:pPr>
              <w:spacing w:line="480" w:lineRule="exact"/>
              <w:ind w:firstLine="480" w:firstLineChars="200"/>
              <w:rPr>
                <w:rFonts w:hAnsi="宋体"/>
                <w:sz w:val="24"/>
              </w:rPr>
            </w:pPr>
            <w:r>
              <w:rPr>
                <w:rFonts w:hAnsi="宋体"/>
                <w:sz w:val="24"/>
              </w:rPr>
              <w:t>①《中华人民共和国环境保护法》（2014年4月24日）；</w:t>
            </w:r>
          </w:p>
          <w:p>
            <w:pPr>
              <w:spacing w:line="480" w:lineRule="exact"/>
              <w:ind w:firstLine="480" w:firstLineChars="200"/>
              <w:rPr>
                <w:rFonts w:hAnsi="宋体"/>
                <w:sz w:val="24"/>
              </w:rPr>
            </w:pPr>
            <w:r>
              <w:rPr>
                <w:rFonts w:hAnsi="宋体"/>
                <w:sz w:val="24"/>
              </w:rPr>
              <w:t>②《中华人民共和国环境影响评价法》（2002年10月28日）；</w:t>
            </w:r>
          </w:p>
          <w:p>
            <w:pPr>
              <w:spacing w:line="480" w:lineRule="exact"/>
              <w:ind w:firstLine="480" w:firstLineChars="200"/>
              <w:rPr>
                <w:rFonts w:hAnsi="宋体"/>
                <w:sz w:val="24"/>
              </w:rPr>
            </w:pPr>
            <w:r>
              <w:rPr>
                <w:rFonts w:hAnsi="宋体"/>
                <w:sz w:val="24"/>
              </w:rPr>
              <w:t>③《中华人民共和国环境影响噪声污染防治法》（1996年10月29日）；</w:t>
            </w:r>
          </w:p>
          <w:p>
            <w:pPr>
              <w:spacing w:line="480" w:lineRule="exact"/>
              <w:ind w:firstLine="480" w:firstLineChars="200"/>
              <w:rPr>
                <w:rFonts w:hAnsi="宋体"/>
                <w:sz w:val="24"/>
              </w:rPr>
            </w:pPr>
            <w:r>
              <w:rPr>
                <w:rFonts w:hAnsi="宋体"/>
                <w:sz w:val="24"/>
              </w:rPr>
              <w:t>④《产业结构调整指导目录》（2011年3月27）；</w:t>
            </w:r>
          </w:p>
          <w:p>
            <w:pPr>
              <w:spacing w:line="480" w:lineRule="exact"/>
              <w:ind w:firstLine="480" w:firstLineChars="200"/>
              <w:rPr>
                <w:rFonts w:hAnsi="宋体"/>
                <w:sz w:val="24"/>
              </w:rPr>
            </w:pPr>
            <w:r>
              <w:rPr>
                <w:rFonts w:hAnsi="宋体"/>
                <w:sz w:val="24"/>
              </w:rPr>
              <w:t>⑤《国家发展改革委关于修改&lt;产业结构调整指导目录（2011年本）&gt;有关条款的决定》（2013年2月16日）；</w:t>
            </w:r>
          </w:p>
          <w:p>
            <w:pPr>
              <w:spacing w:line="480" w:lineRule="exact"/>
              <w:ind w:firstLine="480" w:firstLineChars="200"/>
              <w:rPr>
                <w:rFonts w:hAnsi="宋体"/>
                <w:sz w:val="24"/>
              </w:rPr>
            </w:pPr>
            <w:r>
              <w:rPr>
                <w:rFonts w:hAnsi="宋体"/>
                <w:sz w:val="24"/>
              </w:rPr>
              <w:t>⑥《建设项目环境保护管理条例》（1998年11月29日）；</w:t>
            </w:r>
          </w:p>
          <w:p>
            <w:pPr>
              <w:spacing w:line="480" w:lineRule="exact"/>
              <w:ind w:firstLine="480" w:firstLineChars="200"/>
              <w:rPr>
                <w:rFonts w:hAnsi="宋体"/>
                <w:sz w:val="24"/>
              </w:rPr>
            </w:pPr>
            <w:r>
              <w:rPr>
                <w:rFonts w:hAnsi="宋体"/>
                <w:sz w:val="24"/>
              </w:rPr>
              <w:t>⑦《电力设施保护条例》（1998年1月7日）；</w:t>
            </w:r>
          </w:p>
          <w:p>
            <w:pPr>
              <w:spacing w:line="480" w:lineRule="exact"/>
              <w:ind w:firstLine="480" w:firstLineChars="200"/>
              <w:rPr>
                <w:rFonts w:hAnsi="宋体"/>
                <w:sz w:val="24"/>
              </w:rPr>
            </w:pPr>
            <w:r>
              <w:rPr>
                <w:rFonts w:hAnsi="宋体"/>
                <w:sz w:val="24"/>
              </w:rPr>
              <w:t>⑧《电磁辐射环境保护管理办法》（1997年3月25日）；</w:t>
            </w:r>
          </w:p>
          <w:p>
            <w:pPr>
              <w:spacing w:line="480" w:lineRule="exact"/>
              <w:ind w:firstLine="480" w:firstLineChars="200"/>
              <w:rPr>
                <w:rFonts w:hAnsi="宋体"/>
                <w:sz w:val="24"/>
              </w:rPr>
            </w:pPr>
            <w:r>
              <w:rPr>
                <w:rFonts w:hAnsi="宋体"/>
                <w:sz w:val="24"/>
              </w:rPr>
              <w:t>⑨《关于进一步加强输变电类建设项目环境保护监管工作的工作》环办[2012]131号；</w:t>
            </w:r>
          </w:p>
          <w:p>
            <w:pPr>
              <w:spacing w:line="480" w:lineRule="exact"/>
              <w:ind w:firstLine="480" w:firstLineChars="200"/>
              <w:rPr>
                <w:rFonts w:hAnsi="宋体"/>
                <w:sz w:val="24"/>
              </w:rPr>
            </w:pPr>
            <w:r>
              <w:rPr>
                <w:rFonts w:hAnsi="宋体"/>
                <w:sz w:val="24"/>
              </w:rPr>
              <w:t>⑩《电力设施保护条例实施细则》（1999年3月18日）；</w:t>
            </w:r>
          </w:p>
          <w:p>
            <w:pPr>
              <w:spacing w:line="480" w:lineRule="exact"/>
              <w:ind w:firstLine="480" w:firstLineChars="200"/>
              <w:rPr>
                <w:rFonts w:hAnsi="宋体"/>
                <w:sz w:val="24"/>
              </w:rPr>
            </w:pPr>
            <w:r>
              <w:rPr>
                <w:rFonts w:hAnsi="宋体"/>
                <w:sz w:val="24"/>
              </w:rPr>
              <w:t>⑪《河北省环境保护条例》（2005年3月25日）；</w:t>
            </w:r>
          </w:p>
          <w:p>
            <w:pPr>
              <w:spacing w:line="480" w:lineRule="exact"/>
              <w:ind w:firstLine="480" w:firstLineChars="200"/>
              <w:rPr>
                <w:rFonts w:hAnsi="宋体"/>
                <w:sz w:val="24"/>
              </w:rPr>
            </w:pPr>
            <w:r>
              <w:rPr>
                <w:rFonts w:hAnsi="宋体"/>
                <w:sz w:val="24"/>
              </w:rPr>
              <w:t>⑫《河北省辐射污染防治条例》（2013年9月27日）；</w:t>
            </w:r>
          </w:p>
          <w:p>
            <w:pPr>
              <w:spacing w:line="480" w:lineRule="exact"/>
              <w:ind w:firstLine="480" w:firstLineChars="200"/>
              <w:rPr>
                <w:rFonts w:hAnsi="宋体"/>
                <w:sz w:val="24"/>
              </w:rPr>
            </w:pPr>
            <w:r>
              <w:rPr>
                <w:rFonts w:hAnsi="宋体"/>
                <w:sz w:val="24"/>
              </w:rPr>
              <w:t>⑬《建设项目环境保护管理若干问题的暂行规定》（2007年9月14日）；</w:t>
            </w:r>
          </w:p>
          <w:p>
            <w:pPr>
              <w:spacing w:line="480" w:lineRule="exact"/>
              <w:ind w:firstLine="480" w:firstLineChars="200"/>
              <w:rPr>
                <w:rFonts w:hAnsi="宋体"/>
                <w:sz w:val="24"/>
              </w:rPr>
            </w:pPr>
            <w:r>
              <w:rPr>
                <w:rFonts w:hAnsi="宋体"/>
                <w:sz w:val="24"/>
              </w:rPr>
              <w:t>⑭《河北省建设项目环境保护管理条例》（2005年3月25日）；</w:t>
            </w:r>
          </w:p>
          <w:p>
            <w:pPr>
              <w:spacing w:line="480" w:lineRule="exact"/>
              <w:ind w:firstLine="480" w:firstLineChars="200"/>
              <w:rPr>
                <w:rFonts w:hAnsi="宋体"/>
                <w:sz w:val="24"/>
              </w:rPr>
            </w:pPr>
            <w:r>
              <w:rPr>
                <w:rFonts w:hAnsi="宋体"/>
                <w:sz w:val="24"/>
              </w:rPr>
              <w:t>⑮《河北省固体废物污染环境防治条例》（河北省第十二届人民代表大会常务委员会第十四次会议于2015年3月26日通过，自2015年6月1日起施行）。</w:t>
            </w:r>
          </w:p>
          <w:p>
            <w:pPr>
              <w:spacing w:line="480" w:lineRule="exact"/>
              <w:ind w:firstLine="480" w:firstLineChars="200"/>
              <w:rPr>
                <w:rFonts w:hAnsi="宋体"/>
                <w:sz w:val="24"/>
              </w:rPr>
            </w:pPr>
            <w:r>
              <w:rPr>
                <w:rFonts w:hAnsi="宋体"/>
                <w:sz w:val="24"/>
              </w:rPr>
              <w:t>（2）标准、技术导则</w:t>
            </w:r>
          </w:p>
          <w:p>
            <w:pPr>
              <w:spacing w:line="480" w:lineRule="exact"/>
              <w:ind w:firstLine="480" w:firstLineChars="200"/>
              <w:rPr>
                <w:rFonts w:hAnsi="宋体"/>
                <w:sz w:val="24"/>
              </w:rPr>
            </w:pPr>
            <w:r>
              <w:rPr>
                <w:rFonts w:hAnsi="宋体"/>
                <w:sz w:val="24"/>
              </w:rPr>
              <w:t>①《电磁环境控制限值》（GB8702-2014）；</w:t>
            </w:r>
          </w:p>
          <w:p>
            <w:pPr>
              <w:pStyle w:val="140"/>
              <w:spacing w:line="480" w:lineRule="exact"/>
              <w:ind w:firstLine="480" w:firstLineChars="200"/>
              <w:jc w:val="both"/>
              <w:rPr>
                <w:rFonts w:ascii="Times New Roman" w:hAnsi="宋体" w:cs="Times New Roman"/>
                <w:color w:val="auto"/>
                <w:kern w:val="2"/>
              </w:rPr>
            </w:pPr>
            <w:r>
              <w:rPr>
                <w:rFonts w:ascii="Times New Roman" w:hAnsi="宋体" w:cs="Times New Roman"/>
                <w:color w:val="auto"/>
                <w:kern w:val="2"/>
              </w:rPr>
              <w:t xml:space="preserve">②《环境影响评价技术导则  输变电工程》（HJ24-2014）； </w:t>
            </w:r>
          </w:p>
          <w:p>
            <w:pPr>
              <w:pStyle w:val="140"/>
              <w:spacing w:line="480" w:lineRule="exact"/>
              <w:ind w:firstLine="480" w:firstLineChars="200"/>
              <w:jc w:val="both"/>
              <w:rPr>
                <w:rFonts w:ascii="Times New Roman" w:hAnsi="宋体" w:cs="Times New Roman"/>
                <w:color w:val="auto"/>
                <w:kern w:val="2"/>
              </w:rPr>
            </w:pPr>
            <w:r>
              <w:rPr>
                <w:rFonts w:ascii="Times New Roman" w:hAnsi="宋体" w:cs="Times New Roman"/>
                <w:color w:val="auto"/>
                <w:kern w:val="2"/>
              </w:rPr>
              <w:t xml:space="preserve">③《交流输变电工程电磁环境监测方法(试行)》（HJ681-2013）； </w:t>
            </w:r>
          </w:p>
          <w:p>
            <w:pPr>
              <w:pStyle w:val="140"/>
              <w:spacing w:line="480" w:lineRule="exact"/>
              <w:ind w:firstLine="480" w:firstLineChars="200"/>
              <w:jc w:val="both"/>
              <w:rPr>
                <w:rFonts w:ascii="Times New Roman" w:hAnsi="宋体" w:cs="Times New Roman"/>
                <w:color w:val="auto"/>
                <w:kern w:val="2"/>
              </w:rPr>
            </w:pPr>
            <w:r>
              <w:rPr>
                <w:rFonts w:ascii="Times New Roman" w:hAnsi="宋体" w:cs="Times New Roman"/>
                <w:color w:val="auto"/>
                <w:kern w:val="2"/>
              </w:rPr>
              <w:t xml:space="preserve">④《环境影响评价技术导则  声环境》（HJ2.4-2009）； </w:t>
            </w:r>
          </w:p>
          <w:p>
            <w:pPr>
              <w:pStyle w:val="140"/>
              <w:spacing w:line="480" w:lineRule="exact"/>
              <w:ind w:firstLine="480" w:firstLineChars="200"/>
              <w:jc w:val="both"/>
              <w:rPr>
                <w:rFonts w:ascii="Times New Roman" w:hAnsi="宋体" w:cs="Times New Roman"/>
                <w:color w:val="auto"/>
                <w:kern w:val="2"/>
              </w:rPr>
            </w:pPr>
            <w:r>
              <w:rPr>
                <w:rFonts w:ascii="Times New Roman" w:hAnsi="宋体" w:cs="Times New Roman"/>
                <w:color w:val="auto"/>
                <w:kern w:val="2"/>
              </w:rPr>
              <w:t xml:space="preserve">⑤《环境影响评价技术导则  生态影响》（HJ19-2011）； </w:t>
            </w:r>
          </w:p>
          <w:p>
            <w:pPr>
              <w:pStyle w:val="140"/>
              <w:spacing w:line="480" w:lineRule="exact"/>
              <w:ind w:firstLine="480" w:firstLineChars="200"/>
              <w:jc w:val="both"/>
              <w:rPr>
                <w:rFonts w:ascii="Times New Roman" w:hAnsi="宋体" w:cs="Times New Roman"/>
                <w:color w:val="auto"/>
                <w:kern w:val="2"/>
              </w:rPr>
            </w:pPr>
            <w:r>
              <w:rPr>
                <w:rFonts w:ascii="Times New Roman" w:hAnsi="宋体" w:cs="Times New Roman"/>
                <w:color w:val="auto"/>
                <w:kern w:val="2"/>
              </w:rPr>
              <w:t>⑥《110kV-750kV架空输电线路设计规范》（GB50545-2010）。</w:t>
            </w:r>
          </w:p>
          <w:p>
            <w:pPr>
              <w:spacing w:line="480" w:lineRule="exact"/>
              <w:ind w:firstLine="480" w:firstLineChars="200"/>
              <w:rPr>
                <w:rFonts w:hAnsi="宋体"/>
                <w:sz w:val="24"/>
              </w:rPr>
            </w:pPr>
            <w:bookmarkStart w:id="0" w:name="_Toc174936954"/>
            <w:bookmarkStart w:id="1" w:name="_Toc175017358"/>
            <w:bookmarkStart w:id="2" w:name="_Toc174881373"/>
            <w:bookmarkStart w:id="3" w:name="_Toc185333078"/>
            <w:bookmarkStart w:id="4" w:name="_Toc176766075"/>
            <w:bookmarkStart w:id="5" w:name="_Toc205375260"/>
            <w:bookmarkStart w:id="6" w:name="_Toc184006045"/>
            <w:r>
              <w:rPr>
                <w:rFonts w:hAnsi="宋体"/>
                <w:sz w:val="24"/>
              </w:rPr>
              <w:t>（3）与项目有关的文件和资料</w:t>
            </w:r>
            <w:bookmarkEnd w:id="0"/>
            <w:bookmarkEnd w:id="1"/>
            <w:bookmarkEnd w:id="2"/>
            <w:bookmarkEnd w:id="3"/>
            <w:bookmarkEnd w:id="4"/>
            <w:bookmarkEnd w:id="5"/>
            <w:bookmarkEnd w:id="6"/>
          </w:p>
          <w:p>
            <w:pPr>
              <w:spacing w:line="480" w:lineRule="exact"/>
              <w:ind w:firstLine="480" w:firstLineChars="200"/>
              <w:rPr>
                <w:rFonts w:hAnsi="宋体"/>
                <w:sz w:val="24"/>
              </w:rPr>
            </w:pPr>
            <w:r>
              <w:rPr>
                <w:rFonts w:hAnsi="宋体"/>
                <w:sz w:val="24"/>
              </w:rPr>
              <w:t>①国网河北省电力公司关于保定西北郊热电送出工程可行性研究报告的批复（冀电发展[2015]326号）；</w:t>
            </w:r>
          </w:p>
          <w:p>
            <w:pPr>
              <w:spacing w:line="480" w:lineRule="exact"/>
              <w:ind w:firstLine="480" w:firstLineChars="200"/>
              <w:rPr>
                <w:rFonts w:hAnsi="宋体"/>
                <w:sz w:val="24"/>
              </w:rPr>
            </w:pPr>
            <w:r>
              <w:rPr>
                <w:rFonts w:hAnsi="宋体"/>
                <w:sz w:val="24"/>
              </w:rPr>
              <w:t>②满城区城乡规划管理局关于深能保定西北郊热电厂送出线路工程的意见；</w:t>
            </w:r>
          </w:p>
          <w:p>
            <w:pPr>
              <w:spacing w:line="480" w:lineRule="exact"/>
              <w:ind w:firstLine="480" w:firstLineChars="200"/>
              <w:rPr>
                <w:rFonts w:hAnsi="宋体"/>
                <w:sz w:val="24"/>
              </w:rPr>
            </w:pPr>
            <w:r>
              <w:rPr>
                <w:rFonts w:hAnsi="宋体"/>
                <w:sz w:val="24"/>
              </w:rPr>
              <w:t>③保定市满城区人民武装部关于保定西北郊电厂送出线路路径方案征求意见的函；</w:t>
            </w:r>
          </w:p>
          <w:p>
            <w:pPr>
              <w:spacing w:line="480" w:lineRule="exact"/>
              <w:ind w:firstLine="480" w:firstLineChars="200"/>
              <w:rPr>
                <w:rFonts w:hAnsi="宋体"/>
                <w:sz w:val="24"/>
              </w:rPr>
            </w:pPr>
            <w:r>
              <w:rPr>
                <w:rFonts w:hAnsi="宋体"/>
                <w:sz w:val="24"/>
              </w:rPr>
              <w:t>④保定市满城区文物勘探队关于保定西北郊电厂送出线路路径方案征求意见的函；</w:t>
            </w:r>
          </w:p>
          <w:p>
            <w:pPr>
              <w:spacing w:line="480" w:lineRule="exact"/>
              <w:ind w:firstLine="480" w:firstLineChars="200"/>
              <w:rPr>
                <w:rFonts w:hAnsi="宋体"/>
                <w:sz w:val="24"/>
              </w:rPr>
            </w:pPr>
            <w:r>
              <w:rPr>
                <w:rFonts w:hAnsi="宋体"/>
                <w:sz w:val="24"/>
              </w:rPr>
              <w:t>⑤保定市南水北调工程建设委员会办公室关于保定西北郊电厂送出线路路径方案征求意见的复函（保市调水办函[2015]63号）；</w:t>
            </w:r>
          </w:p>
          <w:p>
            <w:pPr>
              <w:spacing w:line="480" w:lineRule="exact"/>
              <w:ind w:firstLine="480" w:firstLineChars="200"/>
              <w:rPr>
                <w:rFonts w:hAnsi="宋体"/>
                <w:sz w:val="24"/>
              </w:rPr>
            </w:pPr>
            <w:r>
              <w:rPr>
                <w:rFonts w:hAnsi="宋体"/>
                <w:sz w:val="24"/>
              </w:rPr>
              <w:t>⑥保定市国土资源局关于保定西北郊电厂送出线路路径方案不压覆矿产的证明。</w:t>
            </w:r>
          </w:p>
          <w:p>
            <w:pPr>
              <w:pStyle w:val="21"/>
              <w:spacing w:line="480" w:lineRule="exact"/>
              <w:ind w:firstLine="480" w:firstLineChars="200"/>
              <w:rPr>
                <w:rFonts w:ascii="Times New Roman" w:hAnsi="宋体"/>
                <w:sz w:val="24"/>
                <w:szCs w:val="24"/>
              </w:rPr>
            </w:pPr>
            <w:r>
              <w:rPr>
                <w:rFonts w:ascii="Times New Roman" w:hAnsi="宋体"/>
                <w:sz w:val="24"/>
                <w:szCs w:val="24"/>
              </w:rPr>
              <w:t>8、评价因子</w:t>
            </w:r>
          </w:p>
          <w:p>
            <w:pPr>
              <w:spacing w:line="480" w:lineRule="exact"/>
              <w:ind w:firstLine="480" w:firstLineChars="200"/>
              <w:rPr>
                <w:rFonts w:hint="eastAsia" w:hAnsi="宋体"/>
                <w:sz w:val="24"/>
              </w:rPr>
            </w:pPr>
            <w:r>
              <w:rPr>
                <w:rFonts w:hint="eastAsia" w:hAnsi="宋体"/>
                <w:sz w:val="24"/>
              </w:rPr>
              <w:t>（1）施工期</w:t>
            </w:r>
          </w:p>
          <w:p>
            <w:pPr>
              <w:spacing w:line="480" w:lineRule="exact"/>
              <w:ind w:firstLine="480" w:firstLineChars="200"/>
              <w:rPr>
                <w:rFonts w:hint="eastAsia" w:hAnsi="宋体"/>
                <w:sz w:val="24"/>
              </w:rPr>
            </w:pPr>
            <w:r>
              <w:rPr>
                <w:rFonts w:hint="eastAsia" w:hAnsi="宋体"/>
                <w:sz w:val="24"/>
              </w:rPr>
              <w:t>①大气环境影响评价因子：粉尘。</w:t>
            </w:r>
          </w:p>
          <w:p>
            <w:pPr>
              <w:spacing w:line="480" w:lineRule="exact"/>
              <w:ind w:firstLine="480" w:firstLineChars="200"/>
              <w:rPr>
                <w:rFonts w:hint="eastAsia" w:hAnsi="宋体"/>
                <w:sz w:val="24"/>
              </w:rPr>
            </w:pPr>
            <w:r>
              <w:rPr>
                <w:rFonts w:hint="eastAsia" w:hAnsi="宋体"/>
                <w:sz w:val="24"/>
              </w:rPr>
              <w:t>②水环境影响评价因子：</w:t>
            </w:r>
            <w:r>
              <w:rPr>
                <w:rFonts w:hAnsi="宋体"/>
                <w:sz w:val="24"/>
              </w:rPr>
              <w:t>SS</w:t>
            </w:r>
            <w:r>
              <w:rPr>
                <w:rFonts w:hint="eastAsia" w:hAnsi="宋体"/>
                <w:sz w:val="24"/>
              </w:rPr>
              <w:t>、</w:t>
            </w:r>
            <w:r>
              <w:rPr>
                <w:rFonts w:hAnsi="宋体"/>
                <w:sz w:val="24"/>
              </w:rPr>
              <w:t>NH</w:t>
            </w:r>
            <w:r>
              <w:rPr>
                <w:rFonts w:hAnsi="宋体"/>
                <w:sz w:val="24"/>
                <w:vertAlign w:val="subscript"/>
              </w:rPr>
              <w:t>3</w:t>
            </w:r>
            <w:r>
              <w:rPr>
                <w:rFonts w:hAnsi="宋体"/>
                <w:sz w:val="24"/>
              </w:rPr>
              <w:t>-N</w:t>
            </w:r>
            <w:r>
              <w:rPr>
                <w:rFonts w:hint="eastAsia" w:hAnsi="宋体"/>
                <w:sz w:val="24"/>
              </w:rPr>
              <w:t>、</w:t>
            </w:r>
            <w:r>
              <w:rPr>
                <w:rFonts w:hAnsi="宋体"/>
                <w:sz w:val="24"/>
              </w:rPr>
              <w:t>COD</w:t>
            </w:r>
            <w:r>
              <w:rPr>
                <w:rFonts w:hint="eastAsia" w:hAnsi="宋体"/>
                <w:sz w:val="24"/>
              </w:rPr>
              <w:t>。</w:t>
            </w:r>
          </w:p>
          <w:p>
            <w:pPr>
              <w:spacing w:line="480" w:lineRule="exact"/>
              <w:ind w:firstLine="480" w:firstLineChars="200"/>
              <w:rPr>
                <w:rFonts w:hint="eastAsia" w:hAnsi="宋体"/>
                <w:sz w:val="24"/>
              </w:rPr>
            </w:pPr>
            <w:r>
              <w:rPr>
                <w:rFonts w:hint="eastAsia" w:hAnsi="宋体"/>
                <w:sz w:val="24"/>
              </w:rPr>
              <w:t>③声环境影响评价因子：</w:t>
            </w:r>
            <w:r>
              <w:rPr>
                <w:rFonts w:hAnsi="宋体"/>
                <w:sz w:val="24"/>
              </w:rPr>
              <w:t>等效连续A声级</w:t>
            </w:r>
            <w:r>
              <w:rPr>
                <w:rFonts w:hint="eastAsia" w:hAnsi="宋体"/>
                <w:sz w:val="24"/>
              </w:rPr>
              <w:t>。</w:t>
            </w:r>
          </w:p>
          <w:p>
            <w:pPr>
              <w:spacing w:line="480" w:lineRule="exact"/>
              <w:ind w:firstLine="480" w:firstLineChars="200"/>
              <w:rPr>
                <w:rFonts w:hint="eastAsia" w:hAnsi="宋体"/>
                <w:sz w:val="24"/>
              </w:rPr>
            </w:pPr>
            <w:r>
              <w:rPr>
                <w:rFonts w:hint="eastAsia" w:hAnsi="宋体"/>
                <w:sz w:val="24"/>
              </w:rPr>
              <w:t>④固体废物评价因子：生活垃圾、建筑垃圾。</w:t>
            </w:r>
          </w:p>
          <w:p>
            <w:pPr>
              <w:spacing w:line="480" w:lineRule="exact"/>
              <w:ind w:firstLine="480" w:firstLineChars="200"/>
              <w:rPr>
                <w:rFonts w:hint="eastAsia" w:hAnsi="宋体"/>
                <w:sz w:val="24"/>
              </w:rPr>
            </w:pPr>
            <w:r>
              <w:rPr>
                <w:rFonts w:hint="eastAsia" w:hAnsi="宋体"/>
                <w:sz w:val="24"/>
              </w:rPr>
              <w:t>（2）营运期</w:t>
            </w:r>
          </w:p>
          <w:p>
            <w:pPr>
              <w:spacing w:line="480" w:lineRule="exact"/>
              <w:ind w:firstLine="480" w:firstLineChars="200"/>
              <w:rPr>
                <w:rFonts w:hAnsi="宋体"/>
                <w:sz w:val="24"/>
              </w:rPr>
            </w:pPr>
            <w:r>
              <w:rPr>
                <w:rFonts w:hint="eastAsia" w:hAnsi="宋体"/>
                <w:sz w:val="24"/>
              </w:rPr>
              <w:t>①</w:t>
            </w:r>
            <w:r>
              <w:rPr>
                <w:rFonts w:hAnsi="宋体"/>
                <w:sz w:val="24"/>
              </w:rPr>
              <w:t>工频电场评价因子：工频电场强度。</w:t>
            </w:r>
          </w:p>
          <w:p>
            <w:pPr>
              <w:spacing w:line="480" w:lineRule="exact"/>
              <w:ind w:firstLine="480" w:firstLineChars="200"/>
              <w:rPr>
                <w:rFonts w:hAnsi="宋体"/>
                <w:sz w:val="24"/>
              </w:rPr>
            </w:pPr>
            <w:r>
              <w:rPr>
                <w:rFonts w:hint="eastAsia" w:hAnsi="宋体"/>
                <w:sz w:val="24"/>
              </w:rPr>
              <w:t>②</w:t>
            </w:r>
            <w:r>
              <w:rPr>
                <w:rFonts w:hAnsi="宋体"/>
                <w:sz w:val="24"/>
              </w:rPr>
              <w:t>工频磁场评价因子：磁感应强度。</w:t>
            </w:r>
          </w:p>
          <w:p>
            <w:pPr>
              <w:spacing w:line="480" w:lineRule="exact"/>
              <w:ind w:firstLine="480" w:firstLineChars="200"/>
              <w:rPr>
                <w:rFonts w:hAnsi="宋体"/>
                <w:sz w:val="24"/>
              </w:rPr>
            </w:pPr>
            <w:r>
              <w:rPr>
                <w:rFonts w:hint="eastAsia" w:hAnsi="宋体"/>
                <w:sz w:val="24"/>
              </w:rPr>
              <w:t>③</w:t>
            </w:r>
            <w:r>
              <w:rPr>
                <w:rFonts w:hAnsi="宋体"/>
                <w:sz w:val="24"/>
              </w:rPr>
              <w:t>噪声评价因子：等效连续A声级。</w:t>
            </w:r>
          </w:p>
          <w:p>
            <w:pPr>
              <w:spacing w:line="480" w:lineRule="exact"/>
              <w:ind w:firstLine="480" w:firstLineChars="200"/>
              <w:rPr>
                <w:rFonts w:hAnsi="宋体"/>
                <w:sz w:val="24"/>
              </w:rPr>
            </w:pPr>
            <w:r>
              <w:rPr>
                <w:rFonts w:hAnsi="宋体"/>
                <w:sz w:val="24"/>
              </w:rPr>
              <w:t>9、</w:t>
            </w:r>
            <w:r>
              <w:rPr>
                <w:rFonts w:hint="eastAsia" w:hAnsi="宋体"/>
                <w:sz w:val="24"/>
              </w:rPr>
              <w:t>电磁</w:t>
            </w:r>
            <w:r>
              <w:rPr>
                <w:rFonts w:hAnsi="宋体"/>
                <w:sz w:val="24"/>
              </w:rPr>
              <w:t>评价工作等级</w:t>
            </w:r>
          </w:p>
          <w:p>
            <w:pPr>
              <w:spacing w:line="480" w:lineRule="exact"/>
              <w:ind w:firstLine="480" w:firstLineChars="200"/>
              <w:rPr>
                <w:rFonts w:hint="eastAsia" w:hAnsi="宋体"/>
                <w:sz w:val="24"/>
              </w:rPr>
            </w:pPr>
            <w:r>
              <w:rPr>
                <w:rFonts w:hint="eastAsia" w:hAnsi="宋体"/>
                <w:sz w:val="24"/>
              </w:rPr>
              <w:t>根据《环境影响评价技术导则 输变电工程》（HJ24-2014）表2输变电工程电磁环境影响评价工作等级要求，本项目线路工程电压等级为220kV，边导线地面投影外两侧各15m范围内无电磁环境敏感目标的架空线路评价等级为三级。</w:t>
            </w:r>
          </w:p>
          <w:p>
            <w:pPr>
              <w:spacing w:line="480" w:lineRule="exact"/>
              <w:ind w:firstLine="480" w:firstLineChars="200"/>
              <w:rPr>
                <w:rFonts w:hAnsi="宋体"/>
                <w:sz w:val="24"/>
              </w:rPr>
            </w:pPr>
            <w:r>
              <w:rPr>
                <w:rFonts w:hAnsi="宋体"/>
                <w:sz w:val="24"/>
              </w:rPr>
              <w:t>10、评价范围</w:t>
            </w:r>
          </w:p>
          <w:p>
            <w:pPr>
              <w:spacing w:line="480" w:lineRule="exact"/>
              <w:ind w:firstLine="480" w:firstLineChars="200"/>
              <w:rPr>
                <w:rFonts w:hAnsi="宋体"/>
                <w:sz w:val="24"/>
              </w:rPr>
            </w:pPr>
            <w:r>
              <w:rPr>
                <w:rFonts w:hAnsi="宋体"/>
                <w:sz w:val="24"/>
              </w:rPr>
              <w:t>（1）工频电场、工频磁场</w:t>
            </w:r>
          </w:p>
          <w:p>
            <w:pPr>
              <w:spacing w:line="480" w:lineRule="exact"/>
              <w:ind w:firstLine="480" w:firstLineChars="200"/>
              <w:rPr>
                <w:rFonts w:hAnsi="宋体"/>
                <w:sz w:val="24"/>
              </w:rPr>
            </w:pPr>
            <w:r>
              <w:rPr>
                <w:rFonts w:hAnsi="宋体"/>
                <w:sz w:val="24"/>
              </w:rPr>
              <w:t>输电线路的评价范围为线路边导线地面投影外两侧各40m带状区域范围内。</w:t>
            </w:r>
          </w:p>
          <w:p>
            <w:pPr>
              <w:spacing w:line="480" w:lineRule="exact"/>
              <w:ind w:firstLine="480" w:firstLineChars="200"/>
              <w:rPr>
                <w:rFonts w:hAnsi="宋体"/>
                <w:sz w:val="24"/>
              </w:rPr>
            </w:pPr>
            <w:r>
              <w:rPr>
                <w:rFonts w:hAnsi="宋体"/>
                <w:sz w:val="24"/>
              </w:rPr>
              <w:t>（2）噪声</w:t>
            </w:r>
          </w:p>
          <w:p>
            <w:pPr>
              <w:spacing w:line="480" w:lineRule="exact"/>
              <w:ind w:firstLine="480" w:firstLineChars="200"/>
              <w:rPr>
                <w:rFonts w:hAnsi="宋体"/>
                <w:sz w:val="24"/>
              </w:rPr>
            </w:pPr>
            <w:r>
              <w:rPr>
                <w:rFonts w:hAnsi="宋体"/>
                <w:sz w:val="24"/>
              </w:rPr>
              <w:t>架空输电线路的评价范围为线路边导线地面投影外两侧各40m带状区域范围内。</w:t>
            </w:r>
          </w:p>
          <w:p>
            <w:pPr>
              <w:spacing w:line="480" w:lineRule="exact"/>
              <w:ind w:firstLine="480" w:firstLineChars="200"/>
              <w:rPr>
                <w:rFonts w:hAnsi="宋体"/>
                <w:sz w:val="24"/>
              </w:rPr>
            </w:pPr>
            <w:r>
              <w:rPr>
                <w:rFonts w:hAnsi="宋体"/>
                <w:sz w:val="24"/>
              </w:rPr>
              <w:t>（3）生态</w:t>
            </w:r>
          </w:p>
          <w:p>
            <w:pPr>
              <w:spacing w:line="480" w:lineRule="exact"/>
              <w:ind w:firstLine="480" w:firstLineChars="200"/>
              <w:rPr>
                <w:rFonts w:hAnsi="宋体"/>
                <w:sz w:val="24"/>
              </w:rPr>
            </w:pPr>
            <w:r>
              <w:rPr>
                <w:rFonts w:hAnsi="宋体"/>
                <w:sz w:val="24"/>
              </w:rPr>
              <w:t>输电线路的评价范围为线路边导线地面投影外两侧各300m带状区域范围内。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jc w:val="center"/>
        </w:trPr>
        <w:tc>
          <w:tcPr>
            <w:tcW w:w="8604" w:type="dxa"/>
            <w:gridSpan w:val="10"/>
            <w:noWrap w:val="0"/>
            <w:vAlign w:val="top"/>
          </w:tcPr>
          <w:p>
            <w:pPr>
              <w:spacing w:line="480" w:lineRule="exact"/>
              <w:rPr>
                <w:rFonts w:eastAsia="黑体"/>
                <w:sz w:val="28"/>
              </w:rPr>
            </w:pPr>
            <w:r>
              <w:rPr>
                <w:rFonts w:eastAsia="黑体"/>
                <w:sz w:val="28"/>
              </w:rPr>
              <w:t>与本项目有关的原有污染情况及主要环境问题：</w:t>
            </w:r>
          </w:p>
          <w:p>
            <w:pPr>
              <w:spacing w:line="480" w:lineRule="exact"/>
              <w:ind w:firstLine="480" w:firstLineChars="200"/>
              <w:rPr>
                <w:sz w:val="24"/>
              </w:rPr>
            </w:pPr>
            <w:r>
              <w:rPr>
                <w:sz w:val="24"/>
              </w:rPr>
              <w:t>本项目为新建项目无原有污染源。</w:t>
            </w: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rFonts w:hint="eastAsia"/>
                <w:sz w:val="24"/>
              </w:rPr>
            </w:pPr>
          </w:p>
          <w:p>
            <w:pPr>
              <w:spacing w:line="480" w:lineRule="exact"/>
              <w:rPr>
                <w:sz w:val="24"/>
              </w:rPr>
            </w:pPr>
          </w:p>
          <w:p>
            <w:pPr>
              <w:spacing w:line="480" w:lineRule="exact"/>
              <w:rPr>
                <w:rFonts w:hint="eastAsia"/>
                <w:sz w:val="24"/>
              </w:rPr>
            </w:pPr>
          </w:p>
          <w:p>
            <w:pPr>
              <w:spacing w:line="480" w:lineRule="exact"/>
              <w:rPr>
                <w:sz w:val="24"/>
              </w:rPr>
            </w:pPr>
          </w:p>
        </w:tc>
      </w:tr>
    </w:tbl>
    <w:p>
      <w:pPr>
        <w:pStyle w:val="2"/>
        <w:rPr>
          <w:rFonts w:ascii="Times New Roman"/>
        </w:rPr>
      </w:pPr>
      <w:r>
        <w:rPr>
          <w:rFonts w:ascii="Times New Roman"/>
        </w:rPr>
        <w:t>建设项目所在地自然环境社会环境简况</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left w:val="single" w:color="auto" w:sz="4" w:space="0"/>
              <w:bottom w:val="single" w:color="auto" w:sz="4" w:space="0"/>
              <w:right w:val="single" w:color="auto" w:sz="4" w:space="0"/>
            </w:tcBorders>
            <w:noWrap w:val="0"/>
            <w:vAlign w:val="top"/>
          </w:tcPr>
          <w:p>
            <w:pPr>
              <w:pStyle w:val="35"/>
              <w:spacing w:line="480" w:lineRule="exact"/>
              <w:rPr>
                <w:rFonts w:eastAsia="黑体"/>
                <w:b w:val="0"/>
                <w:sz w:val="28"/>
              </w:rPr>
            </w:pPr>
            <w:r>
              <w:rPr>
                <w:rFonts w:eastAsia="黑体"/>
                <w:b w:val="0"/>
                <w:sz w:val="28"/>
              </w:rPr>
              <w:t>自然环境简况（地形、地貌、地质、气候、气象、水文、植被、生物多样性等）：</w:t>
            </w:r>
          </w:p>
          <w:p>
            <w:pPr>
              <w:spacing w:line="480" w:lineRule="exact"/>
              <w:ind w:firstLine="480" w:firstLineChars="200"/>
              <w:rPr>
                <w:b/>
                <w:sz w:val="24"/>
              </w:rPr>
            </w:pPr>
            <w:r>
              <w:rPr>
                <w:b/>
                <w:sz w:val="24"/>
              </w:rPr>
              <w:t>1、地理位置</w:t>
            </w:r>
          </w:p>
          <w:p>
            <w:pPr>
              <w:spacing w:line="480" w:lineRule="exact"/>
              <w:ind w:firstLine="480" w:firstLineChars="200"/>
              <w:rPr>
                <w:sz w:val="24"/>
              </w:rPr>
            </w:pPr>
            <w:r>
              <w:rPr>
                <w:sz w:val="24"/>
              </w:rPr>
              <w:t>满城区，隶属河北省保定市，位于河北省中部，太行山东麓。总面积658平方千米。人口40万(2013年)。辖1个街道、4个镇、7个乡，区政府驻满城镇。</w:t>
            </w:r>
          </w:p>
          <w:p>
            <w:pPr>
              <w:spacing w:line="480" w:lineRule="exact"/>
              <w:ind w:firstLine="480" w:firstLineChars="200"/>
              <w:rPr>
                <w:sz w:val="24"/>
              </w:rPr>
            </w:pPr>
            <w:r>
              <w:rPr>
                <w:sz w:val="24"/>
              </w:rPr>
              <w:t>满城区历史名胜有</w:t>
            </w:r>
            <w:r>
              <w:rPr>
                <w:rFonts w:hint="eastAsia"/>
                <w:sz w:val="24"/>
                <w:lang w:val="en-US" w:eastAsia="zh-CN"/>
              </w:rPr>
              <w:t>满城汉墓</w:t>
            </w:r>
            <w:r>
              <w:rPr>
                <w:sz w:val="24"/>
              </w:rPr>
              <w:t>、</w:t>
            </w:r>
            <w:r>
              <w:rPr>
                <w:rFonts w:hint="eastAsia"/>
                <w:sz w:val="24"/>
                <w:lang w:val="en-US" w:eastAsia="zh-CN"/>
              </w:rPr>
              <w:t>张柔墓</w:t>
            </w:r>
            <w:r>
              <w:rPr>
                <w:sz w:val="24"/>
              </w:rPr>
              <w:t>、古方顺桥、夜借遗址、要庄商周遗址等。地方特产有</w:t>
            </w:r>
            <w:r>
              <w:rPr>
                <w:rFonts w:hint="eastAsia"/>
                <w:sz w:val="24"/>
                <w:lang w:val="en-US" w:eastAsia="zh-CN"/>
              </w:rPr>
              <w:t>满城草莓</w:t>
            </w:r>
            <w:r>
              <w:rPr>
                <w:sz w:val="24"/>
              </w:rPr>
              <w:t>、</w:t>
            </w:r>
            <w:r>
              <w:rPr>
                <w:rFonts w:hint="eastAsia"/>
                <w:sz w:val="24"/>
                <w:lang w:val="en-US" w:eastAsia="zh-CN"/>
              </w:rPr>
              <w:t>满城磨盘柿</w:t>
            </w:r>
            <w:r>
              <w:rPr>
                <w:sz w:val="24"/>
              </w:rPr>
              <w:t>、红岗山桃等。</w:t>
            </w:r>
          </w:p>
          <w:p>
            <w:pPr>
              <w:spacing w:line="480" w:lineRule="exact"/>
              <w:ind w:firstLine="480" w:firstLineChars="200"/>
              <w:rPr>
                <w:sz w:val="24"/>
              </w:rPr>
            </w:pPr>
            <w:r>
              <w:rPr>
                <w:sz w:val="24"/>
              </w:rPr>
              <w:t>保定西北郊热电送出工程</w:t>
            </w:r>
            <w:r>
              <w:rPr>
                <w:snapToGrid w:val="0"/>
                <w:kern w:val="0"/>
                <w:sz w:val="24"/>
              </w:rPr>
              <w:t>线路长度约4.6km，</w:t>
            </w:r>
            <w:r>
              <w:rPr>
                <w:sz w:val="24"/>
              </w:rPr>
              <w:t>本项目线路工程距离最近的敏感点为南侧贾庄村，最近距离为35m。</w:t>
            </w:r>
          </w:p>
          <w:p>
            <w:pPr>
              <w:spacing w:line="480" w:lineRule="exact"/>
              <w:ind w:firstLine="480" w:firstLineChars="200"/>
              <w:rPr>
                <w:b/>
                <w:bCs/>
                <w:kern w:val="0"/>
                <w:sz w:val="24"/>
              </w:rPr>
            </w:pPr>
            <w:r>
              <w:rPr>
                <w:b/>
                <w:bCs/>
                <w:kern w:val="0"/>
                <w:sz w:val="24"/>
              </w:rPr>
              <w:t>2、气象、气候</w:t>
            </w:r>
          </w:p>
          <w:p>
            <w:pPr>
              <w:spacing w:line="480" w:lineRule="exact"/>
              <w:ind w:firstLine="480" w:firstLineChars="200"/>
              <w:rPr>
                <w:sz w:val="24"/>
              </w:rPr>
            </w:pPr>
            <w:r>
              <w:rPr>
                <w:sz w:val="24"/>
              </w:rPr>
              <w:t>满城区属欧亚东部温带半湿润季风区，四季分明，春季干燥多风，夏季炎热多雨，秋季天高气爽，冬季寒冷少雪。</w:t>
            </w:r>
          </w:p>
          <w:p>
            <w:pPr>
              <w:spacing w:line="480" w:lineRule="exact"/>
              <w:ind w:firstLine="480" w:firstLineChars="200"/>
              <w:rPr>
                <w:sz w:val="24"/>
              </w:rPr>
            </w:pPr>
            <w:r>
              <w:rPr>
                <w:sz w:val="24"/>
              </w:rPr>
              <w:t>该区累年平均气温为12.3℃，7月份温度最高，月平均气温26.3℃，1月份气温最低，月平均气温-4.3℃，气温年度差30.6℃。</w:t>
            </w:r>
          </w:p>
          <w:p>
            <w:pPr>
              <w:spacing w:line="480" w:lineRule="exact"/>
              <w:ind w:firstLine="480" w:firstLineChars="200"/>
              <w:rPr>
                <w:sz w:val="24"/>
              </w:rPr>
            </w:pPr>
            <w:r>
              <w:rPr>
                <w:sz w:val="24"/>
              </w:rPr>
              <w:t>该区主导风向为南南西，次主导风向为北北东。多年平均风速1.8米/秒，最大风速18.7米/秒，年平均静风频率24.2%。</w:t>
            </w:r>
          </w:p>
          <w:p>
            <w:pPr>
              <w:spacing w:line="480" w:lineRule="exact"/>
              <w:ind w:firstLine="480" w:firstLineChars="200"/>
              <w:rPr>
                <w:sz w:val="24"/>
              </w:rPr>
            </w:pPr>
            <w:r>
              <w:rPr>
                <w:sz w:val="24"/>
              </w:rPr>
              <w:t>区内没有珍惜濒危动植物分布。</w:t>
            </w:r>
          </w:p>
          <w:p>
            <w:pPr>
              <w:spacing w:line="480" w:lineRule="exact"/>
              <w:ind w:firstLine="480" w:firstLineChars="200"/>
              <w:rPr>
                <w:b/>
                <w:bCs/>
                <w:kern w:val="0"/>
                <w:sz w:val="24"/>
              </w:rPr>
            </w:pPr>
            <w:r>
              <w:rPr>
                <w:b/>
                <w:bCs/>
                <w:kern w:val="0"/>
                <w:sz w:val="24"/>
              </w:rPr>
              <w:t>3、地面水</w:t>
            </w:r>
          </w:p>
          <w:p>
            <w:pPr>
              <w:snapToGrid w:val="0"/>
              <w:spacing w:line="480" w:lineRule="exact"/>
              <w:ind w:firstLine="540"/>
              <w:rPr>
                <w:sz w:val="24"/>
              </w:rPr>
            </w:pPr>
            <w:r>
              <w:rPr>
                <w:sz w:val="24"/>
              </w:rPr>
              <w:t>漕河系大清河水系白洋淀以上支流。发源于保定西北部易县山区老虎石尖，属季节性河流。全长120余公里，总流域面积800平方公里。满城区境内河段长28.8公里，流域面积231平方公里。由龙门流入满城区境，至东庄店入徐水县境，最终汇入白洋淀。近几年内，由于沿岸工业、生活废水的纳入，漕河水量增加，使地表径流常年存在。</w:t>
            </w:r>
          </w:p>
          <w:p>
            <w:pPr>
              <w:spacing w:line="480" w:lineRule="exact"/>
              <w:ind w:firstLine="480" w:firstLineChars="200"/>
              <w:rPr>
                <w:b/>
                <w:bCs/>
                <w:kern w:val="0"/>
                <w:sz w:val="24"/>
              </w:rPr>
            </w:pPr>
            <w:r>
              <w:rPr>
                <w:b/>
                <w:bCs/>
                <w:kern w:val="0"/>
                <w:sz w:val="24"/>
              </w:rPr>
              <w:t>4、水文地质</w:t>
            </w:r>
          </w:p>
          <w:p>
            <w:pPr>
              <w:snapToGrid w:val="0"/>
              <w:spacing w:line="480" w:lineRule="exact"/>
              <w:ind w:firstLine="539"/>
              <w:rPr>
                <w:sz w:val="24"/>
              </w:rPr>
            </w:pPr>
            <w:r>
              <w:rPr>
                <w:sz w:val="24"/>
              </w:rPr>
              <w:t>满城区政府地处太行山东麓，为冲洪积扇平原区。水文地质分区为山前上部冲积扇潜水—承压水区，区内分为两个含水层组。地下水补给主要为山前漕河和界河的侧向补给和大气降水补给，排泄主要为工农业开采，侧向径流和蒸发。地下水的总体流向自西北向东南。</w:t>
            </w:r>
          </w:p>
          <w:p>
            <w:pPr>
              <w:spacing w:line="480" w:lineRule="exact"/>
              <w:ind w:firstLine="480" w:firstLineChars="200"/>
              <w:rPr>
                <w:rFonts w:hint="eastAsia"/>
                <w:sz w:val="24"/>
              </w:rPr>
            </w:pPr>
            <w:r>
              <w:rPr>
                <w:sz w:val="24"/>
              </w:rPr>
              <w:t>经调查，建设区域包气带厚度较厚，在8-12m之间，岩性以粉土和粉质粘土为主，颗粒较细，含粘土矿物和有机质较高。</w:t>
            </w:r>
          </w:p>
          <w:p>
            <w:pPr>
              <w:spacing w:line="480" w:lineRule="exact"/>
              <w:ind w:firstLine="480" w:firstLineChars="200"/>
              <w:rPr>
                <w:rFonts w:hint="eastAsia"/>
                <w:bCs/>
                <w:kern w:val="0"/>
                <w:sz w:val="24"/>
              </w:rPr>
            </w:pPr>
            <w:r>
              <w:rPr>
                <w:bCs/>
                <w:kern w:val="0"/>
                <w:sz w:val="24"/>
              </w:rPr>
              <w:t>一亩泉为保定市地下水源，根据《保定市一亩泉水源保护区污染防治管理规定》（保市政办[2014]4号），一亩泉水源保护区划分为一级保护区、二级保护区和准保护区：</w:t>
            </w:r>
          </w:p>
          <w:p>
            <w:pPr>
              <w:spacing w:line="480" w:lineRule="exact"/>
              <w:ind w:firstLine="480" w:firstLineChars="200"/>
              <w:rPr>
                <w:rFonts w:hint="eastAsia"/>
                <w:bCs/>
                <w:kern w:val="0"/>
                <w:sz w:val="24"/>
              </w:rPr>
            </w:pPr>
            <w:r>
              <w:rPr>
                <w:bCs/>
                <w:kern w:val="0"/>
                <w:sz w:val="24"/>
              </w:rPr>
              <w:t>（1）一级保护区</w:t>
            </w:r>
          </w:p>
          <w:p>
            <w:pPr>
              <w:spacing w:line="480" w:lineRule="exact"/>
              <w:ind w:firstLine="480" w:firstLineChars="200"/>
              <w:rPr>
                <w:rFonts w:hint="eastAsia"/>
                <w:bCs/>
                <w:kern w:val="0"/>
                <w:sz w:val="24"/>
              </w:rPr>
            </w:pPr>
            <w:r>
              <w:rPr>
                <w:bCs/>
                <w:kern w:val="0"/>
                <w:sz w:val="24"/>
              </w:rPr>
              <w:t>范围：以保定市自来水公司所设城市供水汲水井为中心，半径30～50米范围内。</w:t>
            </w:r>
          </w:p>
          <w:p>
            <w:pPr>
              <w:spacing w:line="480" w:lineRule="exact"/>
              <w:ind w:firstLine="480" w:firstLineChars="200"/>
              <w:rPr>
                <w:rFonts w:hint="eastAsia"/>
                <w:bCs/>
                <w:kern w:val="0"/>
                <w:sz w:val="24"/>
              </w:rPr>
            </w:pPr>
            <w:r>
              <w:rPr>
                <w:bCs/>
                <w:kern w:val="0"/>
                <w:sz w:val="24"/>
              </w:rPr>
              <w:t>保护：禁止建设与取水设施无关的建筑物；禁止从事农牧业活动；禁止倾倒、堆放工业废渣及城市垃圾、粪便和其它有害废弃物；禁止输送污水的渠道、管道及输油管通过；禁止建设油库和墓地。</w:t>
            </w:r>
          </w:p>
          <w:p>
            <w:pPr>
              <w:spacing w:line="480" w:lineRule="exact"/>
              <w:ind w:firstLine="480" w:firstLineChars="200"/>
              <w:rPr>
                <w:rFonts w:hint="eastAsia"/>
                <w:bCs/>
                <w:kern w:val="0"/>
                <w:sz w:val="24"/>
              </w:rPr>
            </w:pPr>
            <w:r>
              <w:rPr>
                <w:bCs/>
                <w:kern w:val="0"/>
                <w:sz w:val="24"/>
              </w:rPr>
              <w:t>（2）二级保护区</w:t>
            </w:r>
          </w:p>
          <w:p>
            <w:pPr>
              <w:spacing w:line="480" w:lineRule="exact"/>
              <w:ind w:firstLine="480" w:firstLineChars="200"/>
              <w:rPr>
                <w:rFonts w:hint="eastAsia"/>
                <w:bCs/>
                <w:kern w:val="0"/>
                <w:sz w:val="24"/>
              </w:rPr>
            </w:pPr>
            <w:r>
              <w:rPr>
                <w:bCs/>
                <w:kern w:val="0"/>
                <w:sz w:val="24"/>
              </w:rPr>
              <w:t>范围：</w:t>
            </w:r>
            <w:r>
              <w:rPr>
                <w:rFonts w:hint="eastAsia"/>
                <w:bCs/>
                <w:kern w:val="0"/>
                <w:sz w:val="24"/>
              </w:rPr>
              <w:t>①</w:t>
            </w:r>
            <w:r>
              <w:rPr>
                <w:bCs/>
                <w:kern w:val="0"/>
                <w:sz w:val="24"/>
              </w:rPr>
              <w:t>一亩泉水源区垂直渗漏区。北起北庄村——道口村一线，南至石家庄村一线，东起温屯村——相庄村——北奇村——南奇村——夏庄村——郄庄村一线，西至北庄村——西马村——中佃庄——后屯——大贾村——宋家屯——大固店一线，面积38.4平方公里；</w:t>
            </w:r>
          </w:p>
          <w:p>
            <w:pPr>
              <w:spacing w:line="480" w:lineRule="exact"/>
              <w:ind w:firstLine="480" w:firstLineChars="200"/>
              <w:rPr>
                <w:rFonts w:hint="eastAsia"/>
                <w:bCs/>
                <w:kern w:val="0"/>
                <w:sz w:val="24"/>
              </w:rPr>
            </w:pPr>
            <w:r>
              <w:rPr>
                <w:rFonts w:hint="eastAsia"/>
                <w:bCs/>
                <w:kern w:val="0"/>
                <w:sz w:val="24"/>
              </w:rPr>
              <w:t>②</w:t>
            </w:r>
            <w:r>
              <w:rPr>
                <w:bCs/>
                <w:kern w:val="0"/>
                <w:sz w:val="24"/>
              </w:rPr>
              <w:t>一亩泉水源地主要补给区。石井——玉山店（顺平县界）界河河道，以及大水系工程北伍侯入渗场。</w:t>
            </w:r>
          </w:p>
          <w:p>
            <w:pPr>
              <w:spacing w:line="480" w:lineRule="exact"/>
              <w:ind w:firstLine="480" w:firstLineChars="200"/>
              <w:rPr>
                <w:rFonts w:hint="eastAsia"/>
                <w:bCs/>
                <w:kern w:val="0"/>
                <w:sz w:val="24"/>
              </w:rPr>
            </w:pPr>
            <w:r>
              <w:rPr>
                <w:bCs/>
                <w:kern w:val="0"/>
                <w:sz w:val="24"/>
              </w:rPr>
              <w:t>保护：禁止新建化工、电镀、皮革、造纸、制浆、冶炼、放射性、印染、染料、炼焦、炼油及其它有严重污染的企业；各类化工原料、矿物油类及有毒有害矿产品的堆放场所必须有防雨防渗措施；禁止设置城镇垃圾、粪便和易溶、有毒有害废弃物堆放转运站；禁止使用未经净化的污水灌溉农田，农灌用水应符合中华人民共和国《农田灌溉水质标准》（GB5084－2005）。</w:t>
            </w:r>
          </w:p>
          <w:p>
            <w:pPr>
              <w:spacing w:line="480" w:lineRule="exact"/>
              <w:ind w:firstLine="480" w:firstLineChars="200"/>
              <w:rPr>
                <w:rFonts w:hint="eastAsia"/>
                <w:bCs/>
                <w:kern w:val="0"/>
                <w:sz w:val="24"/>
              </w:rPr>
            </w:pPr>
            <w:r>
              <w:rPr>
                <w:bCs/>
                <w:kern w:val="0"/>
                <w:sz w:val="24"/>
              </w:rPr>
              <w:t>（3）准保护区</w:t>
            </w:r>
          </w:p>
          <w:p>
            <w:pPr>
              <w:spacing w:line="480" w:lineRule="exact"/>
              <w:ind w:firstLine="480" w:firstLineChars="200"/>
              <w:rPr>
                <w:rFonts w:hint="eastAsia"/>
                <w:bCs/>
                <w:kern w:val="0"/>
                <w:sz w:val="24"/>
              </w:rPr>
            </w:pPr>
            <w:r>
              <w:rPr>
                <w:bCs/>
                <w:kern w:val="0"/>
                <w:sz w:val="24"/>
              </w:rPr>
              <w:t>范围：东部边界：以南奇乡贾庄、王庄、张庄、周庄、西黄村一线为界。</w:t>
            </w:r>
          </w:p>
          <w:p>
            <w:pPr>
              <w:spacing w:line="480" w:lineRule="exact"/>
              <w:ind w:firstLine="480" w:firstLineChars="200"/>
              <w:rPr>
                <w:rFonts w:hint="eastAsia"/>
                <w:bCs/>
                <w:kern w:val="0"/>
                <w:sz w:val="24"/>
              </w:rPr>
            </w:pPr>
            <w:r>
              <w:rPr>
                <w:bCs/>
                <w:kern w:val="0"/>
                <w:sz w:val="24"/>
              </w:rPr>
              <w:t>南部边界：以保定至顺平公路为界。</w:t>
            </w:r>
          </w:p>
          <w:p>
            <w:pPr>
              <w:spacing w:line="480" w:lineRule="exact"/>
              <w:ind w:firstLine="480" w:firstLineChars="200"/>
              <w:rPr>
                <w:rFonts w:hint="eastAsia"/>
                <w:bCs/>
                <w:kern w:val="0"/>
                <w:sz w:val="24"/>
              </w:rPr>
            </w:pPr>
            <w:r>
              <w:rPr>
                <w:bCs/>
                <w:kern w:val="0"/>
                <w:sz w:val="24"/>
              </w:rPr>
              <w:t>西部边界：以界河上游东土门、河南庄、石井、永安庄、尉公村至保顺公路为界。</w:t>
            </w:r>
          </w:p>
          <w:p>
            <w:pPr>
              <w:spacing w:line="480" w:lineRule="exact"/>
              <w:ind w:firstLine="480" w:firstLineChars="200"/>
              <w:rPr>
                <w:rFonts w:hint="eastAsia"/>
                <w:bCs/>
                <w:kern w:val="0"/>
                <w:sz w:val="24"/>
              </w:rPr>
            </w:pPr>
            <w:r>
              <w:rPr>
                <w:bCs/>
                <w:kern w:val="0"/>
                <w:sz w:val="24"/>
              </w:rPr>
              <w:t>北部边界：以大磨山、谒山至漕河为界。</w:t>
            </w:r>
          </w:p>
          <w:p>
            <w:pPr>
              <w:spacing w:line="480" w:lineRule="exact"/>
              <w:ind w:firstLine="480" w:firstLineChars="200"/>
              <w:rPr>
                <w:bCs/>
                <w:kern w:val="0"/>
                <w:sz w:val="24"/>
              </w:rPr>
            </w:pPr>
            <w:r>
              <w:rPr>
                <w:bCs/>
                <w:kern w:val="0"/>
                <w:sz w:val="24"/>
              </w:rPr>
              <w:t>保护：禁止设置城镇垃圾、粪便和易溶、有毒有害废弃物堆放场站，因特殊情况需设立转运站的，须经有关部门批准，并采取有效的防雨防渗措施；当补给源为地表水体时，该地表水体水质必须符合《地表水环境质量标准》</w:t>
            </w:r>
            <w:r>
              <w:rPr>
                <w:rFonts w:hint="eastAsia"/>
                <w:bCs/>
                <w:kern w:val="0"/>
                <w:sz w:val="24"/>
              </w:rPr>
              <w:t>Ⅲ</w:t>
            </w:r>
            <w:r>
              <w:rPr>
                <w:bCs/>
                <w:kern w:val="0"/>
                <w:sz w:val="24"/>
              </w:rPr>
              <w:t>类标准；农灌用水应符合中华人民共和国《农田灌溉水质标准》（GB5084－2005），并合理使用化肥。</w:t>
            </w:r>
          </w:p>
          <w:p>
            <w:pPr>
              <w:spacing w:line="480" w:lineRule="exact"/>
              <w:ind w:firstLine="480" w:firstLineChars="200"/>
              <w:rPr>
                <w:rFonts w:hint="eastAsia"/>
                <w:bCs/>
                <w:kern w:val="0"/>
                <w:sz w:val="24"/>
              </w:rPr>
            </w:pPr>
            <w:r>
              <w:rPr>
                <w:rFonts w:hint="eastAsia"/>
                <w:sz w:val="24"/>
              </w:rPr>
              <w:t>本项目线路工程位于一亩泉地下水源准保护区内，本项目不属于</w:t>
            </w:r>
            <w:r>
              <w:rPr>
                <w:bCs/>
                <w:kern w:val="0"/>
                <w:sz w:val="24"/>
              </w:rPr>
              <w:t>城镇垃圾、粪便和易溶、有毒有害废弃物堆放场站</w:t>
            </w:r>
            <w:r>
              <w:rPr>
                <w:rFonts w:hint="eastAsia"/>
                <w:bCs/>
                <w:kern w:val="0"/>
                <w:sz w:val="24"/>
              </w:rPr>
              <w:t>项目。本项目营运期间不产生生产废水，仅在施工过程中对准保护区产生一定影响，该工程施工过程中不产生废水且施工时间较短，因此本项目对一亩泉地下水源准保护区影响较小。</w:t>
            </w:r>
          </w:p>
          <w:p>
            <w:pPr>
              <w:spacing w:line="480" w:lineRule="exact"/>
              <w:ind w:firstLine="480" w:firstLineChars="200"/>
              <w:rPr>
                <w:rFonts w:hint="eastAsia"/>
                <w:b/>
                <w:bCs/>
                <w:kern w:val="0"/>
                <w:sz w:val="24"/>
              </w:rPr>
            </w:pPr>
            <w:r>
              <w:rPr>
                <w:rFonts w:hint="eastAsia"/>
                <w:b/>
                <w:bCs/>
                <w:kern w:val="0"/>
                <w:sz w:val="24"/>
              </w:rPr>
              <w:t>5、</w:t>
            </w:r>
            <w:r>
              <w:rPr>
                <w:b/>
                <w:bCs/>
                <w:kern w:val="0"/>
                <w:sz w:val="24"/>
              </w:rPr>
              <w:t>南水北调</w:t>
            </w:r>
          </w:p>
          <w:p>
            <w:pPr>
              <w:spacing w:line="480" w:lineRule="exact"/>
              <w:ind w:firstLine="480" w:firstLineChars="200"/>
              <w:rPr>
                <w:rFonts w:hint="eastAsia"/>
                <w:sz w:val="24"/>
              </w:rPr>
            </w:pPr>
            <w:r>
              <w:rPr>
                <w:rFonts w:hint="eastAsia"/>
                <w:sz w:val="24"/>
              </w:rPr>
              <w:t>南水北调</w:t>
            </w:r>
            <w:r>
              <w:rPr>
                <w:sz w:val="24"/>
              </w:rPr>
              <w:t>总体规划推荐东线、中线和西线三条调水线路。通过三条调水线路与长江、黄河、淮河和海河四大江河的联系，构成以“四横三纵”为主体的总体布局，以利于实现中国水资源南北调配、东西互济的合理配置格局。西线工程截至目前，还没有开工建设。规划的东线、中线和西线到2050年调水总规模为448亿立方米，其中东线148亿立方米，中线130亿立方米，西线170亿立方米。整个工程将根据实际情况分期实施，供水面积145万平方公里，受益人口4.38亿人。</w:t>
            </w:r>
          </w:p>
          <w:p>
            <w:pPr>
              <w:spacing w:line="480" w:lineRule="exact"/>
              <w:ind w:firstLine="480" w:firstLineChars="200"/>
              <w:rPr>
                <w:rFonts w:hint="eastAsia"/>
                <w:sz w:val="24"/>
              </w:rPr>
            </w:pPr>
            <w:r>
              <w:rPr>
                <w:rFonts w:hint="eastAsia"/>
                <w:sz w:val="24"/>
              </w:rPr>
              <w:t>本工程线路在贾庄村南跨越规划中南水北调地下配套输水工程，该管道为热电厂东南角第二水表厂输水，目前该管道尚未最终确定线路走向。经南水北调输水管线设计人员核实，新建</w:t>
            </w:r>
            <w:r>
              <w:rPr>
                <w:sz w:val="24"/>
              </w:rPr>
              <w:t>保定西北郊热电送出工程</w:t>
            </w:r>
            <w:r>
              <w:rPr>
                <w:rFonts w:hint="eastAsia"/>
                <w:sz w:val="24"/>
              </w:rPr>
              <w:t>与保定市南水北调配套工程保定市区（郑家佐）输水管道在工程桩号9+350-10+150段以北25m外大体平行布置，该220kV电厂出线终端铁塔（J1）基础距离输水管道中心约为25m。</w:t>
            </w:r>
          </w:p>
          <w:p>
            <w:pPr>
              <w:spacing w:line="480" w:lineRule="exact"/>
              <w:ind w:firstLine="480" w:firstLineChars="200"/>
              <w:rPr>
                <w:sz w:val="24"/>
              </w:rPr>
            </w:pPr>
            <w:r>
              <w:rPr>
                <w:rFonts w:hint="eastAsia"/>
                <w:sz w:val="24"/>
              </w:rPr>
              <w:t>根据保定市南水北调工程建设委员会办公室要求，输水管道的保护范围为工程设施上方地面及自其边线向外延伸至30m以内的区域，本工程建设时若输水管线已确定走向，调整本工程路径走向，使铁塔塔基及临时施工场地避让输水管道工程设施上方地面及自其边线向外延伸至30m以内的区域，确保不在输水管道的保护范围内进行施工及立塔。</w:t>
            </w:r>
          </w:p>
          <w:p>
            <w:pPr>
              <w:spacing w:line="480" w:lineRule="exact"/>
              <w:ind w:firstLine="480" w:firstLineChars="200"/>
              <w:rPr>
                <w:b/>
                <w:bCs/>
                <w:kern w:val="0"/>
                <w:sz w:val="24"/>
              </w:rPr>
            </w:pPr>
            <w:r>
              <w:rPr>
                <w:rFonts w:hint="eastAsia"/>
                <w:b/>
                <w:bCs/>
                <w:kern w:val="0"/>
                <w:sz w:val="24"/>
              </w:rPr>
              <w:t>6</w:t>
            </w:r>
            <w:r>
              <w:rPr>
                <w:b/>
                <w:bCs/>
                <w:kern w:val="0"/>
                <w:sz w:val="24"/>
              </w:rPr>
              <w:t>、地形地貌</w:t>
            </w:r>
          </w:p>
          <w:p>
            <w:pPr>
              <w:widowControl/>
              <w:adjustRightInd w:val="0"/>
              <w:snapToGrid w:val="0"/>
              <w:spacing w:line="480" w:lineRule="exact"/>
              <w:ind w:firstLine="480" w:firstLineChars="200"/>
              <w:jc w:val="left"/>
              <w:rPr>
                <w:bCs/>
                <w:kern w:val="0"/>
                <w:sz w:val="24"/>
              </w:rPr>
            </w:pPr>
            <w:r>
              <w:rPr>
                <w:bCs/>
                <w:kern w:val="0"/>
                <w:sz w:val="24"/>
              </w:rPr>
              <w:t>满城区地势西北高，东南低，西部和北部为太行山余脉，中部为山区和平原过渡带，东部和南部为山前冲积平原。东南部最低海拔16.5米。西北部最高海拔1052米。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eastAsia="黑体"/>
                <w:sz w:val="28"/>
              </w:rPr>
            </w:pPr>
            <w:r>
              <w:rPr>
                <w:rFonts w:eastAsia="黑体"/>
                <w:sz w:val="28"/>
              </w:rPr>
              <w:t>社会环境简况（社会经济结构、教育、文化、文物保护等）：</w:t>
            </w:r>
          </w:p>
          <w:p>
            <w:pPr>
              <w:pStyle w:val="112"/>
              <w:spacing w:line="480" w:lineRule="exact"/>
              <w:ind w:firstLine="480"/>
              <w:rPr>
                <w:rFonts w:ascii="Times New Roman"/>
                <w:bCs/>
              </w:rPr>
            </w:pPr>
            <w:r>
              <w:rPr>
                <w:rFonts w:ascii="Times New Roman"/>
              </w:rPr>
              <w:t>保定市满城区总面</w:t>
            </w:r>
            <w:r>
              <w:rPr>
                <w:rFonts w:ascii="Times New Roman"/>
                <w:bCs/>
              </w:rPr>
              <w:t>积683平方公里，设有5个建制镇、6个乡，187个行政村，其中满城镇为区政府驻地。2015年5月，撤销满城县设立满城区。总人口为38万人，人口密度为589人/平方公里，其中非农业人口2.78万人</w:t>
            </w:r>
            <w:r>
              <w:rPr>
                <w:rFonts w:ascii="Times New Roman"/>
              </w:rPr>
              <w:t>。</w:t>
            </w:r>
            <w:r>
              <w:rPr>
                <w:rFonts w:ascii="Times New Roman"/>
                <w:bCs/>
              </w:rPr>
              <w:t>现有普通高中1所，在校学生4721人，中等职业学校1所，在校学生5029人，普通中学15所，在校学生10267人，小学67所，在校学生29470人，基本实现了九年义务教育，幼儿园77所，在园幼儿10523人。</w:t>
            </w:r>
          </w:p>
          <w:p>
            <w:pPr>
              <w:widowControl/>
              <w:spacing w:line="480" w:lineRule="exact"/>
              <w:ind w:firstLine="480" w:firstLineChars="200"/>
              <w:rPr>
                <w:bCs/>
                <w:sz w:val="24"/>
              </w:rPr>
            </w:pPr>
            <w:r>
              <w:rPr>
                <w:bCs/>
                <w:sz w:val="24"/>
              </w:rPr>
              <w:t>全区共有卫生机构571个，床位828张，卫生技术人员1727人。2013年生产总值完成658476万元，全部财政收入完成4.0115亿元。第一产业增加值为140468万元；第二产业增加值为339611万元；第三产业增加值为178397万元，形成建材、机械、食品、造纸、电器、轻纺主导行业。</w:t>
            </w:r>
          </w:p>
          <w:p>
            <w:pPr>
              <w:widowControl/>
              <w:spacing w:line="480" w:lineRule="exact"/>
              <w:ind w:firstLine="480" w:firstLineChars="200"/>
              <w:rPr>
                <w:spacing w:val="8"/>
                <w:sz w:val="24"/>
              </w:rPr>
            </w:pPr>
            <w:r>
              <w:rPr>
                <w:sz w:val="24"/>
              </w:rPr>
              <w:t>大册营造纸工业区素有"造纸之乡"之称。农业已建成粮棉、水畜、林果、草莓、瓜菜五大基地，草莓、磨盘柿、雪桃、红岗山桃等特色种植远近闻名，是"河北草莓之乡"、"中国磨盘柿之乡"。</w:t>
            </w:r>
            <w:r>
              <w:rPr>
                <w:spacing w:val="8"/>
                <w:sz w:val="24"/>
              </w:rPr>
              <w:t>名胜古迹主要有陵山汉墓、元蔡国公墓、曹仙洞、龙门湖、抱阳山，其中</w:t>
            </w:r>
            <w:r>
              <w:rPr>
                <w:rFonts w:hint="eastAsia"/>
                <w:spacing w:val="8"/>
                <w:sz w:val="24"/>
                <w:lang w:val="en-US" w:eastAsia="zh-CN"/>
              </w:rPr>
              <w:t>满城汉墓</w:t>
            </w:r>
            <w:r>
              <w:rPr>
                <w:sz w:val="24"/>
              </w:rPr>
              <w:t>景区为全国重点文物</w:t>
            </w:r>
            <w:bookmarkStart w:id="40" w:name="_GoBack"/>
            <w:bookmarkEnd w:id="40"/>
            <w:r>
              <w:rPr>
                <w:sz w:val="24"/>
              </w:rPr>
              <w:t>保护单位，还有神星柿子沟农业生态旅游区、亚洲第一人工空中渡槽――漕河渡槽。</w:t>
            </w:r>
            <w:r>
              <w:rPr>
                <w:spacing w:val="8"/>
                <w:sz w:val="24"/>
              </w:rPr>
              <w:t>矿产有石灰石、粘土、大理石、石板矿等。</w:t>
            </w:r>
          </w:p>
          <w:p>
            <w:pPr>
              <w:widowControl/>
              <w:spacing w:line="480" w:lineRule="exact"/>
              <w:ind w:firstLine="512" w:firstLineChars="200"/>
              <w:rPr>
                <w:spacing w:val="8"/>
                <w:sz w:val="24"/>
              </w:rPr>
            </w:pPr>
            <w:r>
              <w:rPr>
                <w:rFonts w:hint="eastAsia"/>
                <w:spacing w:val="8"/>
                <w:sz w:val="24"/>
              </w:rPr>
              <w:t>满城区（原满城县）历史悠久，境内风景名胜、文物古迹众多，国家级重点文物保护单位——满城区（原满城县）中山靖王墓以出土的“金缕玉衣”、“错金博山炉”等珍稀文物享誉海内外，此外，满城区（原满城县）境内还有陵山、抱阳山、龙潭、龙门等旅游景点。</w:t>
            </w:r>
          </w:p>
          <w:p>
            <w:pPr>
              <w:widowControl/>
              <w:spacing w:line="480" w:lineRule="exact"/>
              <w:ind w:firstLine="512" w:firstLineChars="200"/>
              <w:rPr>
                <w:spacing w:val="8"/>
                <w:sz w:val="24"/>
              </w:rPr>
            </w:pPr>
            <w:r>
              <w:rPr>
                <w:rFonts w:hint="eastAsia"/>
                <w:spacing w:val="8"/>
                <w:sz w:val="24"/>
              </w:rPr>
              <w:t>本项目线路工程未在以上文物保护区内，已取得</w:t>
            </w:r>
            <w:r>
              <w:rPr>
                <w:rFonts w:hAnsi="宋体"/>
                <w:sz w:val="24"/>
              </w:rPr>
              <w:t>保定市满城区文物勘探队关于保定西北郊电厂送出线路路径方案征求意见的函</w:t>
            </w:r>
            <w:r>
              <w:rPr>
                <w:rFonts w:hint="eastAsia" w:hAnsi="宋体"/>
                <w:sz w:val="24"/>
              </w:rPr>
              <w:t>，同意本项目建设</w:t>
            </w:r>
            <w:r>
              <w:rPr>
                <w:rFonts w:hint="eastAsia"/>
                <w:spacing w:val="8"/>
                <w:sz w:val="24"/>
              </w:rPr>
              <w:t>。</w:t>
            </w:r>
          </w:p>
          <w:p>
            <w:pPr>
              <w:widowControl/>
              <w:spacing w:line="480" w:lineRule="exact"/>
              <w:ind w:firstLine="512" w:firstLineChars="200"/>
              <w:rPr>
                <w:spacing w:val="8"/>
                <w:sz w:val="24"/>
              </w:rPr>
            </w:pPr>
          </w:p>
          <w:p>
            <w:pPr>
              <w:widowControl/>
              <w:spacing w:line="480" w:lineRule="exact"/>
              <w:ind w:firstLine="512" w:firstLineChars="200"/>
              <w:rPr>
                <w:rFonts w:hint="eastAsia"/>
                <w:spacing w:val="8"/>
                <w:sz w:val="24"/>
              </w:rPr>
            </w:pPr>
          </w:p>
          <w:p>
            <w:pPr>
              <w:widowControl/>
              <w:spacing w:line="480" w:lineRule="exact"/>
              <w:ind w:firstLine="512" w:firstLineChars="200"/>
              <w:rPr>
                <w:rFonts w:hint="eastAsia"/>
                <w:spacing w:val="8"/>
                <w:sz w:val="24"/>
              </w:rPr>
            </w:pPr>
          </w:p>
          <w:p>
            <w:pPr>
              <w:widowControl/>
              <w:spacing w:line="480" w:lineRule="exact"/>
              <w:rPr>
                <w:sz w:val="24"/>
              </w:rPr>
            </w:pPr>
          </w:p>
        </w:tc>
      </w:tr>
    </w:tbl>
    <w:p>
      <w:pPr>
        <w:pStyle w:val="2"/>
        <w:rPr>
          <w:rFonts w:ascii="Times New Roman"/>
        </w:rPr>
      </w:pPr>
      <w:r>
        <w:rPr>
          <w:rFonts w:ascii="Times New Roman"/>
        </w:rPr>
        <w:t>环境质量状况</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tcBorders>
            <w:noWrap w:val="0"/>
            <w:vAlign w:val="top"/>
          </w:tcPr>
          <w:p>
            <w:pPr>
              <w:pStyle w:val="16"/>
              <w:spacing w:before="120" w:line="400" w:lineRule="exact"/>
              <w:ind w:left="102" w:right="102"/>
              <w:jc w:val="both"/>
              <w:rPr>
                <w:sz w:val="28"/>
              </w:rPr>
            </w:pPr>
            <w:r>
              <w:rPr>
                <w:sz w:val="28"/>
              </w:rPr>
              <w:t>建设项目所在地区域环境质量现状及主要环境问题（环境空气、地面水、地下水、声环境、生态环境等）</w:t>
            </w:r>
          </w:p>
          <w:p>
            <w:pPr>
              <w:pStyle w:val="112"/>
              <w:spacing w:line="480" w:lineRule="exact"/>
              <w:ind w:firstLine="480"/>
              <w:rPr>
                <w:rFonts w:ascii="Times New Roman"/>
                <w:b/>
                <w:szCs w:val="21"/>
              </w:rPr>
            </w:pPr>
            <w:r>
              <w:rPr>
                <w:rFonts w:ascii="Times New Roman"/>
                <w:b/>
                <w:szCs w:val="21"/>
              </w:rPr>
              <w:t>1．环境空气质量状况</w:t>
            </w:r>
          </w:p>
          <w:p>
            <w:pPr>
              <w:pStyle w:val="112"/>
              <w:spacing w:line="480" w:lineRule="exact"/>
              <w:ind w:firstLine="480"/>
              <w:rPr>
                <w:rFonts w:ascii="Times New Roman"/>
                <w:b/>
                <w:szCs w:val="21"/>
              </w:rPr>
            </w:pPr>
            <w:r>
              <w:rPr>
                <w:rFonts w:ascii="Times New Roman"/>
              </w:rPr>
              <w:t>项目所在区域环境空气质量良好，能够达到《环境空气质量标准》（GB3095－2012）二级标准。</w:t>
            </w:r>
          </w:p>
          <w:p>
            <w:pPr>
              <w:pStyle w:val="112"/>
              <w:spacing w:line="480" w:lineRule="exact"/>
              <w:ind w:firstLine="480"/>
              <w:rPr>
                <w:rFonts w:ascii="Times New Roman"/>
                <w:b/>
                <w:szCs w:val="21"/>
              </w:rPr>
            </w:pPr>
            <w:r>
              <w:rPr>
                <w:rFonts w:ascii="Times New Roman"/>
                <w:b/>
                <w:szCs w:val="21"/>
              </w:rPr>
              <w:t>2．水环境质量状况</w:t>
            </w:r>
          </w:p>
          <w:p>
            <w:pPr>
              <w:pStyle w:val="112"/>
              <w:spacing w:line="480" w:lineRule="exact"/>
              <w:ind w:firstLine="480"/>
              <w:rPr>
                <w:rFonts w:ascii="Times New Roman"/>
              </w:rPr>
            </w:pPr>
            <w:r>
              <w:rPr>
                <w:rFonts w:ascii="Times New Roman"/>
              </w:rPr>
              <w:t>区域内地下水质较好，地下水各项水质指标均达到《地下水质量标准》（GB/T14848－93）</w:t>
            </w:r>
            <w:r>
              <w:rPr>
                <w:szCs w:val="28"/>
              </w:rPr>
              <w:t>Ⅲ</w:t>
            </w:r>
            <w:r>
              <w:rPr>
                <w:rFonts w:ascii="Times New Roman"/>
              </w:rPr>
              <w:t>类标准要求。</w:t>
            </w:r>
          </w:p>
          <w:p>
            <w:pPr>
              <w:pStyle w:val="112"/>
              <w:spacing w:line="480" w:lineRule="exact"/>
              <w:ind w:firstLine="480"/>
              <w:rPr>
                <w:rFonts w:ascii="Times New Roman"/>
                <w:b/>
                <w:szCs w:val="21"/>
              </w:rPr>
            </w:pPr>
            <w:r>
              <w:rPr>
                <w:rFonts w:hint="eastAsia" w:ascii="Times New Roman"/>
                <w:b/>
                <w:szCs w:val="21"/>
              </w:rPr>
              <w:t>3</w:t>
            </w:r>
            <w:r>
              <w:rPr>
                <w:rFonts w:ascii="Times New Roman"/>
                <w:b/>
                <w:szCs w:val="21"/>
              </w:rPr>
              <w:t>．生态环境现状</w:t>
            </w:r>
          </w:p>
          <w:p>
            <w:pPr>
              <w:pStyle w:val="21"/>
              <w:spacing w:line="480" w:lineRule="exact"/>
              <w:ind w:firstLine="420"/>
              <w:rPr>
                <w:rFonts w:ascii="Times New Roman" w:hAnsi="Times New Roman"/>
                <w:bCs/>
                <w:sz w:val="24"/>
                <w:szCs w:val="24"/>
              </w:rPr>
            </w:pPr>
            <w:r>
              <w:rPr>
                <w:rFonts w:ascii="Times New Roman" w:hAnsi="Times New Roman"/>
                <w:bCs/>
                <w:sz w:val="24"/>
                <w:szCs w:val="24"/>
              </w:rPr>
              <w:t>沿线地貌主要为华北平原，地形平坦开阔。</w:t>
            </w:r>
          </w:p>
          <w:p>
            <w:pPr>
              <w:pStyle w:val="21"/>
              <w:spacing w:line="480" w:lineRule="exact"/>
              <w:ind w:firstLine="420"/>
              <w:rPr>
                <w:rFonts w:ascii="Times New Roman" w:hAnsi="Times New Roman"/>
                <w:b/>
                <w:sz w:val="24"/>
              </w:rPr>
            </w:pPr>
            <w:r>
              <w:rPr>
                <w:rFonts w:hint="eastAsia" w:ascii="Times New Roman" w:hAnsi="Times New Roman"/>
                <w:b/>
                <w:sz w:val="24"/>
              </w:rPr>
              <w:t>4</w:t>
            </w:r>
            <w:r>
              <w:rPr>
                <w:rFonts w:ascii="Times New Roman" w:hAnsi="Times New Roman"/>
                <w:b/>
                <w:sz w:val="24"/>
              </w:rPr>
              <w:t>.工频电磁场及声环境现状</w:t>
            </w:r>
          </w:p>
          <w:p>
            <w:pPr>
              <w:spacing w:line="480" w:lineRule="exact"/>
              <w:ind w:firstLine="480" w:firstLineChars="200"/>
              <w:rPr>
                <w:sz w:val="24"/>
              </w:rPr>
            </w:pPr>
            <w:r>
              <w:rPr>
                <w:sz w:val="24"/>
              </w:rPr>
              <w:t>（1）监测仪器</w:t>
            </w:r>
          </w:p>
          <w:p>
            <w:pPr>
              <w:spacing w:line="480" w:lineRule="exact"/>
              <w:ind w:firstLine="480" w:firstLineChars="200"/>
              <w:rPr>
                <w:sz w:val="24"/>
              </w:rPr>
            </w:pPr>
            <w:r>
              <w:rPr>
                <w:sz w:val="24"/>
              </w:rPr>
              <w:t>所用仪器均经国家计量部门检验合格，并处于检验证书有效期内，仪器的频率性能覆盖监测对象的频率范围。</w:t>
            </w:r>
          </w:p>
          <w:p>
            <w:pPr>
              <w:spacing w:line="480" w:lineRule="exact"/>
              <w:ind w:firstLine="480" w:firstLineChars="200"/>
              <w:rPr>
                <w:sz w:val="24"/>
              </w:rPr>
            </w:pPr>
            <w:r>
              <w:rPr>
                <w:sz w:val="24"/>
              </w:rPr>
              <w:t>电磁辐射综合场强仪：型号：NBM-550和EHP-50D；公司编号：FS001+ FS001-2。</w:t>
            </w:r>
          </w:p>
          <w:p>
            <w:pPr>
              <w:spacing w:line="480" w:lineRule="exact"/>
              <w:ind w:firstLine="480" w:firstLineChars="200"/>
              <w:rPr>
                <w:sz w:val="24"/>
              </w:rPr>
            </w:pPr>
            <w:r>
              <w:rPr>
                <w:sz w:val="24"/>
              </w:rPr>
              <w:t>AWA5680型多功能声级计：型号：HS6320A；公司编号：SF168。</w:t>
            </w:r>
          </w:p>
          <w:p>
            <w:pPr>
              <w:spacing w:line="480" w:lineRule="exact"/>
              <w:ind w:firstLine="480" w:firstLineChars="200"/>
              <w:rPr>
                <w:sz w:val="24"/>
              </w:rPr>
            </w:pPr>
            <w:r>
              <w:rPr>
                <w:sz w:val="24"/>
              </w:rPr>
              <w:t>（2）监测方法</w:t>
            </w:r>
          </w:p>
          <w:p>
            <w:pPr>
              <w:spacing w:line="480" w:lineRule="exact"/>
              <w:ind w:firstLine="480" w:firstLineChars="200"/>
              <w:rPr>
                <w:sz w:val="24"/>
              </w:rPr>
            </w:pPr>
            <w:r>
              <w:rPr>
                <w:sz w:val="24"/>
              </w:rPr>
              <w:t>工频电场、工频磁场按《交流输变电工程电磁环境监测方法(试行)》(HJ 681-2013)、《环境影响评价技术导则 输变电工程》（HJ24-2014）进行；</w:t>
            </w:r>
          </w:p>
          <w:p>
            <w:pPr>
              <w:spacing w:line="480" w:lineRule="exact"/>
              <w:ind w:firstLine="480" w:firstLineChars="200"/>
              <w:rPr>
                <w:rFonts w:hint="eastAsia"/>
                <w:sz w:val="24"/>
              </w:rPr>
            </w:pPr>
            <w:r>
              <w:rPr>
                <w:sz w:val="24"/>
              </w:rPr>
              <w:t>噪声按《声环境质量标准》(GB3096-2008)进行。</w:t>
            </w:r>
          </w:p>
          <w:p>
            <w:pPr>
              <w:spacing w:line="480" w:lineRule="exact"/>
              <w:ind w:firstLine="480" w:firstLineChars="200"/>
              <w:rPr>
                <w:rFonts w:hint="eastAsia"/>
                <w:sz w:val="24"/>
              </w:rPr>
            </w:pPr>
            <w:r>
              <w:rPr>
                <w:rFonts w:hint="eastAsia"/>
                <w:sz w:val="24"/>
              </w:rPr>
              <w:t>（3）监测点位选取合理性分析</w:t>
            </w:r>
          </w:p>
          <w:p>
            <w:pPr>
              <w:spacing w:line="480" w:lineRule="exact"/>
              <w:ind w:firstLine="480" w:firstLineChars="200"/>
              <w:rPr>
                <w:rFonts w:hint="eastAsia"/>
                <w:sz w:val="24"/>
              </w:rPr>
            </w:pPr>
            <w:r>
              <w:rPr>
                <w:rFonts w:hint="eastAsia"/>
                <w:sz w:val="24"/>
              </w:rPr>
              <w:t>根据《环境影响评价技术导则 输变电工程》（HJ24-2014）要求监测点位包括电磁环境敏感目标、输电线路路径。</w:t>
            </w:r>
          </w:p>
          <w:p>
            <w:pPr>
              <w:spacing w:line="480" w:lineRule="exact"/>
              <w:ind w:firstLine="480" w:firstLineChars="200"/>
              <w:rPr>
                <w:rFonts w:hint="eastAsia"/>
                <w:sz w:val="24"/>
              </w:rPr>
            </w:pPr>
            <w:r>
              <w:rPr>
                <w:rFonts w:hint="eastAsia"/>
                <w:sz w:val="24"/>
              </w:rPr>
              <w:t>敏感目标的布点方法以定点监测为主；输电线路的布点需对沿线电磁环境现状进行监测，尽量沿线路路径均匀布点，兼顾行政区及环境特征的代表性，输电线路沿线电磁环境现状监测点位数量要求，线路长度小于100km，监测点位至少为2个。</w:t>
            </w:r>
          </w:p>
          <w:p>
            <w:pPr>
              <w:spacing w:line="480" w:lineRule="exact"/>
              <w:ind w:firstLine="480" w:firstLineChars="200"/>
              <w:rPr>
                <w:sz w:val="24"/>
              </w:rPr>
            </w:pPr>
            <w:r>
              <w:rPr>
                <w:rFonts w:hint="eastAsia"/>
                <w:sz w:val="24"/>
              </w:rPr>
              <w:t>该线路工程电磁、声环境评价范围内敏感点共有4个，分别为线路北侧贾庄村、线路南侧贾庄村、规划学校、规划居住区；该工程线路长度小于100km，因此输电线路路径现状监测点位为2个，共有6个监测点位。</w:t>
            </w:r>
          </w:p>
          <w:p>
            <w:pPr>
              <w:spacing w:line="480" w:lineRule="exact"/>
              <w:ind w:firstLine="480" w:firstLineChars="200"/>
              <w:rPr>
                <w:sz w:val="24"/>
              </w:rPr>
            </w:pPr>
            <w:r>
              <w:rPr>
                <w:sz w:val="24"/>
              </w:rPr>
              <w:t>（</w:t>
            </w:r>
            <w:r>
              <w:rPr>
                <w:rFonts w:hint="eastAsia"/>
                <w:sz w:val="24"/>
              </w:rPr>
              <w:t>4</w:t>
            </w:r>
            <w:r>
              <w:rPr>
                <w:sz w:val="24"/>
              </w:rPr>
              <w:t>）监测点位</w:t>
            </w:r>
          </w:p>
          <w:p>
            <w:pPr>
              <w:spacing w:line="480" w:lineRule="exact"/>
              <w:ind w:firstLine="480" w:firstLineChars="200"/>
              <w:rPr>
                <w:sz w:val="24"/>
              </w:rPr>
            </w:pPr>
            <w:r>
              <w:rPr>
                <w:sz w:val="24"/>
              </w:rPr>
              <w:t>工频电磁场监测布点：拟建线路下方设置</w:t>
            </w:r>
            <w:r>
              <w:rPr>
                <w:rFonts w:hint="eastAsia"/>
                <w:sz w:val="24"/>
              </w:rPr>
              <w:t>2</w:t>
            </w:r>
            <w:r>
              <w:rPr>
                <w:sz w:val="24"/>
              </w:rPr>
              <w:t>个监测点</w:t>
            </w:r>
            <w:r>
              <w:rPr>
                <w:rFonts w:hint="eastAsia"/>
                <w:sz w:val="24"/>
              </w:rPr>
              <w:t>，线路北侧贾庄村、线路南侧贾庄村、规划学校、规划居住区4个敏感点，共6个监测点位</w:t>
            </w:r>
            <w:r>
              <w:rPr>
                <w:sz w:val="24"/>
              </w:rPr>
              <w:t>。</w:t>
            </w:r>
          </w:p>
          <w:p>
            <w:pPr>
              <w:spacing w:line="480" w:lineRule="exact"/>
              <w:ind w:firstLine="480" w:firstLineChars="200"/>
              <w:rPr>
                <w:sz w:val="24"/>
              </w:rPr>
            </w:pPr>
            <w:r>
              <w:rPr>
                <w:sz w:val="24"/>
              </w:rPr>
              <w:t>噪声监测布点：拟建线路下方设置</w:t>
            </w:r>
            <w:r>
              <w:rPr>
                <w:rFonts w:hint="eastAsia"/>
                <w:sz w:val="24"/>
              </w:rPr>
              <w:t>2</w:t>
            </w:r>
            <w:r>
              <w:rPr>
                <w:sz w:val="24"/>
              </w:rPr>
              <w:t>个监测点</w:t>
            </w:r>
            <w:r>
              <w:rPr>
                <w:rFonts w:hint="eastAsia"/>
                <w:sz w:val="24"/>
              </w:rPr>
              <w:t>，线路北侧贾庄村、线路南侧贾庄村、规划学校、规划居住区4个敏感点，共6个监测点位</w:t>
            </w:r>
            <w:r>
              <w:rPr>
                <w:sz w:val="24"/>
              </w:rPr>
              <w:t>。</w:t>
            </w:r>
          </w:p>
          <w:p>
            <w:pPr>
              <w:spacing w:line="480" w:lineRule="exact"/>
              <w:ind w:firstLine="480" w:firstLineChars="200"/>
              <w:rPr>
                <w:sz w:val="24"/>
              </w:rPr>
            </w:pPr>
            <w:r>
              <w:rPr>
                <w:sz w:val="24"/>
              </w:rPr>
              <w:t>监测布点示意图见附图2。</w:t>
            </w:r>
          </w:p>
          <w:p>
            <w:pPr>
              <w:spacing w:line="480" w:lineRule="exact"/>
              <w:ind w:firstLine="480" w:firstLineChars="200"/>
              <w:rPr>
                <w:sz w:val="24"/>
              </w:rPr>
            </w:pPr>
            <w:r>
              <w:rPr>
                <w:sz w:val="24"/>
              </w:rPr>
              <w:t>（</w:t>
            </w:r>
            <w:r>
              <w:rPr>
                <w:rFonts w:hint="eastAsia"/>
                <w:sz w:val="24"/>
              </w:rPr>
              <w:t>5</w:t>
            </w:r>
            <w:r>
              <w:rPr>
                <w:sz w:val="24"/>
              </w:rPr>
              <w:t>）监测单位和时间</w:t>
            </w:r>
          </w:p>
          <w:p>
            <w:pPr>
              <w:spacing w:line="480" w:lineRule="exact"/>
              <w:ind w:firstLine="480" w:firstLineChars="200"/>
              <w:rPr>
                <w:bCs/>
                <w:sz w:val="24"/>
              </w:rPr>
            </w:pPr>
            <w:r>
              <w:rPr>
                <w:sz w:val="24"/>
              </w:rPr>
              <w:t>保定市民科环境检测有限公司</w:t>
            </w:r>
            <w:r>
              <w:rPr>
                <w:sz w:val="24"/>
                <w:lang w:val="en-GB"/>
              </w:rPr>
              <w:t>2016年1月21、22日</w:t>
            </w:r>
            <w:r>
              <w:rPr>
                <w:sz w:val="24"/>
              </w:rPr>
              <w:t>进行监测，天气：晴，温度 1.5°C，湿度42%，风速为1.2m/s。</w:t>
            </w:r>
          </w:p>
          <w:p>
            <w:pPr>
              <w:spacing w:line="480" w:lineRule="exact"/>
              <w:ind w:firstLine="480" w:firstLineChars="200"/>
              <w:rPr>
                <w:sz w:val="24"/>
              </w:rPr>
            </w:pPr>
            <w:r>
              <w:rPr>
                <w:sz w:val="24"/>
              </w:rPr>
              <w:t>（</w:t>
            </w:r>
            <w:r>
              <w:rPr>
                <w:rFonts w:hint="eastAsia"/>
                <w:sz w:val="24"/>
              </w:rPr>
              <w:t>6</w:t>
            </w:r>
            <w:r>
              <w:rPr>
                <w:sz w:val="24"/>
              </w:rPr>
              <w:t>）监测结果</w:t>
            </w:r>
          </w:p>
          <w:p>
            <w:pPr>
              <w:spacing w:line="480" w:lineRule="exact"/>
              <w:ind w:firstLine="480" w:firstLineChars="200"/>
              <w:rPr>
                <w:sz w:val="24"/>
              </w:rPr>
            </w:pPr>
            <w:r>
              <w:rPr>
                <w:sz w:val="24"/>
              </w:rPr>
              <w:t>线路路径电磁强度、噪声现状值监测结果见表</w:t>
            </w:r>
            <w:r>
              <w:rPr>
                <w:rFonts w:hint="eastAsia"/>
                <w:sz w:val="24"/>
              </w:rPr>
              <w:t>3</w:t>
            </w:r>
            <w:r>
              <w:rPr>
                <w:sz w:val="24"/>
              </w:rPr>
              <w:t>、</w:t>
            </w:r>
            <w:r>
              <w:rPr>
                <w:rFonts w:hint="eastAsia"/>
                <w:sz w:val="24"/>
              </w:rPr>
              <w:t>4</w:t>
            </w:r>
            <w:r>
              <w:rPr>
                <w:sz w:val="24"/>
              </w:rPr>
              <w:t>；</w:t>
            </w:r>
          </w:p>
          <w:p>
            <w:pPr>
              <w:spacing w:line="480" w:lineRule="exact"/>
              <w:jc w:val="center"/>
              <w:rPr>
                <w:b/>
                <w:szCs w:val="21"/>
              </w:rPr>
            </w:pPr>
            <w:r>
              <w:rPr>
                <w:b/>
                <w:szCs w:val="21"/>
              </w:rPr>
              <w:t>表</w:t>
            </w:r>
            <w:r>
              <w:rPr>
                <w:rFonts w:hint="eastAsia"/>
                <w:b/>
                <w:szCs w:val="21"/>
              </w:rPr>
              <w:t>3</w:t>
            </w:r>
            <w:r>
              <w:rPr>
                <w:b/>
                <w:szCs w:val="21"/>
              </w:rPr>
              <w:t xml:space="preserve">  </w:t>
            </w:r>
            <w:r>
              <w:rPr>
                <w:b/>
                <w:szCs w:val="21"/>
                <w:lang w:val="en-GB"/>
              </w:rPr>
              <w:t>保定西北郊热电送出工程</w:t>
            </w:r>
            <w:r>
              <w:rPr>
                <w:b/>
                <w:szCs w:val="21"/>
              </w:rPr>
              <w:t>电磁环境现状值监测结果</w:t>
            </w:r>
          </w:p>
          <w:tbl>
            <w:tblPr>
              <w:tblStyle w:val="43"/>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753"/>
              <w:gridCol w:w="2835"/>
              <w:gridCol w:w="1559"/>
              <w:gridCol w:w="1276"/>
              <w:gridCol w:w="13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23" w:type="dxa"/>
                  <w:shd w:val="clear" w:color="auto" w:fill="auto"/>
                  <w:noWrap w:val="0"/>
                  <w:vAlign w:val="center"/>
                </w:tcPr>
                <w:p>
                  <w:pPr>
                    <w:spacing w:line="0" w:lineRule="atLeast"/>
                    <w:jc w:val="center"/>
                    <w:rPr>
                      <w:szCs w:val="21"/>
                    </w:rPr>
                  </w:pPr>
                  <w:r>
                    <w:rPr>
                      <w:szCs w:val="21"/>
                    </w:rPr>
                    <w:t>序 号</w:t>
                  </w:r>
                </w:p>
              </w:tc>
              <w:tc>
                <w:tcPr>
                  <w:tcW w:w="3588" w:type="dxa"/>
                  <w:gridSpan w:val="2"/>
                  <w:shd w:val="clear" w:color="auto" w:fill="auto"/>
                  <w:noWrap w:val="0"/>
                  <w:vAlign w:val="center"/>
                </w:tcPr>
                <w:p>
                  <w:pPr>
                    <w:spacing w:line="0" w:lineRule="atLeast"/>
                    <w:jc w:val="center"/>
                    <w:rPr>
                      <w:szCs w:val="21"/>
                    </w:rPr>
                  </w:pPr>
                  <w:r>
                    <w:rPr>
                      <w:szCs w:val="21"/>
                    </w:rPr>
                    <w:t>监测点位</w:t>
                  </w:r>
                </w:p>
              </w:tc>
              <w:tc>
                <w:tcPr>
                  <w:tcW w:w="1559" w:type="dxa"/>
                  <w:shd w:val="clear" w:color="auto" w:fill="auto"/>
                  <w:noWrap w:val="0"/>
                  <w:vAlign w:val="top"/>
                </w:tcPr>
                <w:p>
                  <w:pPr>
                    <w:spacing w:line="0" w:lineRule="atLeast"/>
                    <w:jc w:val="center"/>
                    <w:rPr>
                      <w:szCs w:val="21"/>
                    </w:rPr>
                  </w:pPr>
                  <w:r>
                    <w:rPr>
                      <w:szCs w:val="21"/>
                    </w:rPr>
                    <w:t>距本项目方位/距离</w:t>
                  </w:r>
                </w:p>
              </w:tc>
              <w:tc>
                <w:tcPr>
                  <w:tcW w:w="1276" w:type="dxa"/>
                  <w:shd w:val="clear" w:color="auto" w:fill="auto"/>
                  <w:noWrap/>
                  <w:vAlign w:val="center"/>
                </w:tcPr>
                <w:p>
                  <w:pPr>
                    <w:spacing w:line="0" w:lineRule="atLeast"/>
                    <w:jc w:val="center"/>
                    <w:rPr>
                      <w:rFonts w:hint="eastAsia"/>
                      <w:szCs w:val="21"/>
                    </w:rPr>
                  </w:pPr>
                  <w:r>
                    <w:rPr>
                      <w:szCs w:val="21"/>
                    </w:rPr>
                    <w:t>电场强度</w:t>
                  </w:r>
                </w:p>
                <w:p>
                  <w:pPr>
                    <w:spacing w:line="0" w:lineRule="atLeast"/>
                    <w:jc w:val="center"/>
                    <w:rPr>
                      <w:szCs w:val="21"/>
                    </w:rPr>
                  </w:pPr>
                  <w:r>
                    <w:rPr>
                      <w:szCs w:val="21"/>
                    </w:rPr>
                    <w:t>（V/m）</w:t>
                  </w:r>
                </w:p>
              </w:tc>
              <w:tc>
                <w:tcPr>
                  <w:tcW w:w="1360" w:type="dxa"/>
                  <w:noWrap w:val="0"/>
                  <w:vAlign w:val="center"/>
                </w:tcPr>
                <w:p>
                  <w:pPr>
                    <w:spacing w:line="0" w:lineRule="atLeast"/>
                    <w:jc w:val="center"/>
                    <w:rPr>
                      <w:szCs w:val="21"/>
                    </w:rPr>
                  </w:pPr>
                  <w:r>
                    <w:rPr>
                      <w:szCs w:val="21"/>
                    </w:rPr>
                    <w:t>磁感应强度(μT)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23" w:type="dxa"/>
                  <w:shd w:val="clear" w:color="auto" w:fill="auto"/>
                  <w:noWrap w:val="0"/>
                  <w:vAlign w:val="center"/>
                </w:tcPr>
                <w:p>
                  <w:pPr>
                    <w:spacing w:line="0" w:lineRule="atLeast"/>
                    <w:jc w:val="center"/>
                    <w:rPr>
                      <w:szCs w:val="21"/>
                    </w:rPr>
                  </w:pPr>
                  <w:r>
                    <w:rPr>
                      <w:szCs w:val="21"/>
                    </w:rPr>
                    <w:t>1</w:t>
                  </w:r>
                </w:p>
              </w:tc>
              <w:tc>
                <w:tcPr>
                  <w:tcW w:w="753" w:type="dxa"/>
                  <w:vMerge w:val="restart"/>
                  <w:shd w:val="clear" w:color="auto" w:fill="auto"/>
                  <w:noWrap w:val="0"/>
                  <w:vAlign w:val="center"/>
                </w:tcPr>
                <w:p>
                  <w:pPr>
                    <w:spacing w:line="0" w:lineRule="atLeast"/>
                    <w:jc w:val="center"/>
                    <w:rPr>
                      <w:szCs w:val="21"/>
                    </w:rPr>
                  </w:pPr>
                  <w:r>
                    <w:rPr>
                      <w:szCs w:val="21"/>
                      <w:lang w:val="en-GB"/>
                    </w:rPr>
                    <w:t>保定西北郊电厂至电谷变电站拟建线路</w:t>
                  </w:r>
                </w:p>
              </w:tc>
              <w:tc>
                <w:tcPr>
                  <w:tcW w:w="2835" w:type="dxa"/>
                  <w:shd w:val="clear" w:color="auto" w:fill="auto"/>
                  <w:noWrap w:val="0"/>
                  <w:vAlign w:val="center"/>
                </w:tcPr>
                <w:p>
                  <w:pPr>
                    <w:spacing w:line="0" w:lineRule="atLeast"/>
                    <w:jc w:val="center"/>
                    <w:rPr>
                      <w:szCs w:val="21"/>
                    </w:rPr>
                  </w:pPr>
                  <w:r>
                    <w:rPr>
                      <w:szCs w:val="21"/>
                      <w:lang w:val="en-GB"/>
                    </w:rPr>
                    <w:t>保定西北郊热电送出工程拟建线路下方</w:t>
                  </w:r>
                </w:p>
              </w:tc>
              <w:tc>
                <w:tcPr>
                  <w:tcW w:w="1559" w:type="dxa"/>
                  <w:shd w:val="clear" w:color="auto" w:fill="auto"/>
                  <w:noWrap w:val="0"/>
                  <w:vAlign w:val="center"/>
                </w:tcPr>
                <w:p>
                  <w:pPr>
                    <w:spacing w:line="0" w:lineRule="atLeast"/>
                    <w:jc w:val="center"/>
                    <w:rPr>
                      <w:szCs w:val="21"/>
                    </w:rPr>
                  </w:pPr>
                  <w:r>
                    <w:rPr>
                      <w:rFonts w:hint="eastAsia"/>
                      <w:szCs w:val="21"/>
                    </w:rPr>
                    <w:t>正下方/0m</w:t>
                  </w:r>
                </w:p>
              </w:tc>
              <w:tc>
                <w:tcPr>
                  <w:tcW w:w="1276" w:type="dxa"/>
                  <w:shd w:val="clear" w:color="auto" w:fill="auto"/>
                  <w:noWrap/>
                  <w:vAlign w:val="center"/>
                </w:tcPr>
                <w:p>
                  <w:pPr>
                    <w:spacing w:line="0" w:lineRule="atLeast"/>
                    <w:jc w:val="center"/>
                    <w:rPr>
                      <w:szCs w:val="21"/>
                    </w:rPr>
                  </w:pPr>
                  <w:r>
                    <w:rPr>
                      <w:szCs w:val="21"/>
                    </w:rPr>
                    <w:t>0.287</w:t>
                  </w:r>
                </w:p>
              </w:tc>
              <w:tc>
                <w:tcPr>
                  <w:tcW w:w="1360" w:type="dxa"/>
                  <w:noWrap w:val="0"/>
                  <w:vAlign w:val="center"/>
                </w:tcPr>
                <w:p>
                  <w:pPr>
                    <w:spacing w:line="0" w:lineRule="atLeast"/>
                    <w:jc w:val="center"/>
                    <w:rPr>
                      <w:szCs w:val="21"/>
                    </w:rPr>
                  </w:pPr>
                  <w:r>
                    <w:rPr>
                      <w:szCs w:val="21"/>
                    </w:rPr>
                    <w:t>0.0111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23" w:type="dxa"/>
                  <w:shd w:val="clear" w:color="auto" w:fill="auto"/>
                  <w:noWrap w:val="0"/>
                  <w:vAlign w:val="center"/>
                </w:tcPr>
                <w:p>
                  <w:pPr>
                    <w:spacing w:line="0" w:lineRule="atLeast"/>
                    <w:jc w:val="center"/>
                    <w:rPr>
                      <w:szCs w:val="21"/>
                    </w:rPr>
                  </w:pPr>
                  <w:r>
                    <w:rPr>
                      <w:szCs w:val="21"/>
                    </w:rPr>
                    <w:t>2</w:t>
                  </w:r>
                </w:p>
              </w:tc>
              <w:tc>
                <w:tcPr>
                  <w:tcW w:w="753" w:type="dxa"/>
                  <w:vMerge w:val="continue"/>
                  <w:shd w:val="clear" w:color="auto" w:fill="auto"/>
                  <w:noWrap w:val="0"/>
                  <w:vAlign w:val="top"/>
                </w:tcPr>
                <w:p>
                  <w:pPr>
                    <w:spacing w:line="0" w:lineRule="atLeast"/>
                    <w:jc w:val="center"/>
                    <w:rPr>
                      <w:szCs w:val="21"/>
                    </w:rPr>
                  </w:pPr>
                </w:p>
              </w:tc>
              <w:tc>
                <w:tcPr>
                  <w:tcW w:w="2835" w:type="dxa"/>
                  <w:shd w:val="clear" w:color="auto" w:fill="auto"/>
                  <w:noWrap w:val="0"/>
                  <w:vAlign w:val="center"/>
                </w:tcPr>
                <w:p>
                  <w:pPr>
                    <w:spacing w:line="0" w:lineRule="atLeast"/>
                    <w:jc w:val="center"/>
                    <w:rPr>
                      <w:szCs w:val="21"/>
                    </w:rPr>
                  </w:pPr>
                  <w:r>
                    <w:rPr>
                      <w:szCs w:val="21"/>
                      <w:lang w:val="en-GB"/>
                    </w:rPr>
                    <w:t>拟建线路南侧贾庄村民房（敏感点）</w:t>
                  </w:r>
                </w:p>
              </w:tc>
              <w:tc>
                <w:tcPr>
                  <w:tcW w:w="1559" w:type="dxa"/>
                  <w:shd w:val="clear" w:color="auto" w:fill="auto"/>
                  <w:noWrap w:val="0"/>
                  <w:vAlign w:val="center"/>
                </w:tcPr>
                <w:p>
                  <w:pPr>
                    <w:spacing w:line="0" w:lineRule="atLeast"/>
                    <w:jc w:val="center"/>
                    <w:rPr>
                      <w:szCs w:val="21"/>
                    </w:rPr>
                  </w:pPr>
                  <w:r>
                    <w:rPr>
                      <w:snapToGrid w:val="0"/>
                      <w:szCs w:val="21"/>
                    </w:rPr>
                    <w:t>南侧/35m</w:t>
                  </w:r>
                </w:p>
              </w:tc>
              <w:tc>
                <w:tcPr>
                  <w:tcW w:w="1276" w:type="dxa"/>
                  <w:shd w:val="clear" w:color="auto" w:fill="auto"/>
                  <w:noWrap/>
                  <w:vAlign w:val="center"/>
                </w:tcPr>
                <w:p>
                  <w:pPr>
                    <w:spacing w:line="0" w:lineRule="atLeast"/>
                    <w:jc w:val="center"/>
                    <w:rPr>
                      <w:szCs w:val="21"/>
                    </w:rPr>
                  </w:pPr>
                  <w:r>
                    <w:rPr>
                      <w:szCs w:val="21"/>
                    </w:rPr>
                    <w:t>0.268</w:t>
                  </w:r>
                </w:p>
              </w:tc>
              <w:tc>
                <w:tcPr>
                  <w:tcW w:w="1360" w:type="dxa"/>
                  <w:noWrap w:val="0"/>
                  <w:vAlign w:val="center"/>
                </w:tcPr>
                <w:p>
                  <w:pPr>
                    <w:spacing w:line="0" w:lineRule="atLeast"/>
                    <w:jc w:val="center"/>
                    <w:rPr>
                      <w:szCs w:val="21"/>
                    </w:rPr>
                  </w:pPr>
                  <w:r>
                    <w:rPr>
                      <w:szCs w:val="21"/>
                    </w:rPr>
                    <w:t>0.0110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23" w:type="dxa"/>
                  <w:shd w:val="clear" w:color="auto" w:fill="auto"/>
                  <w:noWrap w:val="0"/>
                  <w:vAlign w:val="center"/>
                </w:tcPr>
                <w:p>
                  <w:pPr>
                    <w:spacing w:line="0" w:lineRule="atLeast"/>
                    <w:jc w:val="center"/>
                    <w:rPr>
                      <w:szCs w:val="21"/>
                    </w:rPr>
                  </w:pPr>
                  <w:r>
                    <w:rPr>
                      <w:szCs w:val="21"/>
                    </w:rPr>
                    <w:t>3</w:t>
                  </w:r>
                </w:p>
              </w:tc>
              <w:tc>
                <w:tcPr>
                  <w:tcW w:w="753" w:type="dxa"/>
                  <w:vMerge w:val="continue"/>
                  <w:shd w:val="clear" w:color="auto" w:fill="auto"/>
                  <w:noWrap w:val="0"/>
                  <w:vAlign w:val="top"/>
                </w:tcPr>
                <w:p>
                  <w:pPr>
                    <w:spacing w:line="0" w:lineRule="atLeast"/>
                    <w:jc w:val="center"/>
                    <w:rPr>
                      <w:szCs w:val="21"/>
                    </w:rPr>
                  </w:pPr>
                </w:p>
              </w:tc>
              <w:tc>
                <w:tcPr>
                  <w:tcW w:w="2835" w:type="dxa"/>
                  <w:shd w:val="clear" w:color="auto" w:fill="auto"/>
                  <w:noWrap w:val="0"/>
                  <w:vAlign w:val="center"/>
                </w:tcPr>
                <w:p>
                  <w:pPr>
                    <w:spacing w:line="0" w:lineRule="atLeast"/>
                    <w:jc w:val="center"/>
                    <w:rPr>
                      <w:szCs w:val="21"/>
                    </w:rPr>
                  </w:pPr>
                  <w:r>
                    <w:rPr>
                      <w:szCs w:val="21"/>
                      <w:lang w:val="en-GB"/>
                    </w:rPr>
                    <w:t>拟建线路北侧贾庄村民房（敏感点）</w:t>
                  </w:r>
                </w:p>
              </w:tc>
              <w:tc>
                <w:tcPr>
                  <w:tcW w:w="1559" w:type="dxa"/>
                  <w:shd w:val="clear" w:color="auto" w:fill="auto"/>
                  <w:noWrap w:val="0"/>
                  <w:vAlign w:val="center"/>
                </w:tcPr>
                <w:p>
                  <w:pPr>
                    <w:spacing w:line="0" w:lineRule="atLeast"/>
                    <w:jc w:val="center"/>
                    <w:rPr>
                      <w:szCs w:val="21"/>
                    </w:rPr>
                  </w:pPr>
                  <w:r>
                    <w:rPr>
                      <w:snapToGrid w:val="0"/>
                      <w:szCs w:val="21"/>
                    </w:rPr>
                    <w:t>北侧/38m</w:t>
                  </w:r>
                </w:p>
              </w:tc>
              <w:tc>
                <w:tcPr>
                  <w:tcW w:w="1276" w:type="dxa"/>
                  <w:shd w:val="clear" w:color="auto" w:fill="auto"/>
                  <w:noWrap/>
                  <w:vAlign w:val="center"/>
                </w:tcPr>
                <w:p>
                  <w:pPr>
                    <w:spacing w:line="0" w:lineRule="atLeast"/>
                    <w:jc w:val="center"/>
                    <w:rPr>
                      <w:szCs w:val="21"/>
                    </w:rPr>
                  </w:pPr>
                  <w:r>
                    <w:rPr>
                      <w:szCs w:val="21"/>
                    </w:rPr>
                    <w:t>0.444</w:t>
                  </w:r>
                </w:p>
              </w:tc>
              <w:tc>
                <w:tcPr>
                  <w:tcW w:w="1360" w:type="dxa"/>
                  <w:noWrap w:val="0"/>
                  <w:vAlign w:val="center"/>
                </w:tcPr>
                <w:p>
                  <w:pPr>
                    <w:spacing w:line="0" w:lineRule="atLeast"/>
                    <w:jc w:val="center"/>
                    <w:rPr>
                      <w:szCs w:val="21"/>
                    </w:rPr>
                  </w:pPr>
                  <w:r>
                    <w:rPr>
                      <w:szCs w:val="21"/>
                    </w:rPr>
                    <w:t>0.0110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23" w:type="dxa"/>
                  <w:shd w:val="clear" w:color="auto" w:fill="auto"/>
                  <w:noWrap w:val="0"/>
                  <w:vAlign w:val="center"/>
                </w:tcPr>
                <w:p>
                  <w:pPr>
                    <w:spacing w:line="0" w:lineRule="atLeast"/>
                    <w:jc w:val="center"/>
                    <w:rPr>
                      <w:szCs w:val="21"/>
                    </w:rPr>
                  </w:pPr>
                  <w:r>
                    <w:rPr>
                      <w:rFonts w:hint="eastAsia"/>
                      <w:szCs w:val="21"/>
                    </w:rPr>
                    <w:t>4</w:t>
                  </w:r>
                </w:p>
              </w:tc>
              <w:tc>
                <w:tcPr>
                  <w:tcW w:w="753" w:type="dxa"/>
                  <w:vMerge w:val="continue"/>
                  <w:shd w:val="clear" w:color="auto" w:fill="auto"/>
                  <w:noWrap w:val="0"/>
                  <w:vAlign w:val="top"/>
                </w:tcPr>
                <w:p>
                  <w:pPr>
                    <w:spacing w:line="0" w:lineRule="atLeast"/>
                    <w:jc w:val="center"/>
                    <w:rPr>
                      <w:szCs w:val="21"/>
                    </w:rPr>
                  </w:pPr>
                </w:p>
              </w:tc>
              <w:tc>
                <w:tcPr>
                  <w:tcW w:w="2835" w:type="dxa"/>
                  <w:shd w:val="clear" w:color="auto" w:fill="auto"/>
                  <w:noWrap w:val="0"/>
                  <w:vAlign w:val="center"/>
                </w:tcPr>
                <w:p>
                  <w:pPr>
                    <w:spacing w:line="0" w:lineRule="atLeast"/>
                    <w:jc w:val="center"/>
                    <w:rPr>
                      <w:szCs w:val="21"/>
                      <w:lang w:val="en-GB"/>
                    </w:rPr>
                  </w:pPr>
                  <w:r>
                    <w:rPr>
                      <w:rFonts w:hint="eastAsia"/>
                      <w:szCs w:val="21"/>
                      <w:lang w:val="en-GB"/>
                    </w:rPr>
                    <w:t>规划待建学校</w:t>
                  </w:r>
                </w:p>
              </w:tc>
              <w:tc>
                <w:tcPr>
                  <w:tcW w:w="1559" w:type="dxa"/>
                  <w:shd w:val="clear" w:color="auto" w:fill="auto"/>
                  <w:noWrap w:val="0"/>
                  <w:vAlign w:val="center"/>
                </w:tcPr>
                <w:p>
                  <w:pPr>
                    <w:spacing w:line="0" w:lineRule="atLeast"/>
                    <w:jc w:val="center"/>
                    <w:rPr>
                      <w:snapToGrid w:val="0"/>
                      <w:szCs w:val="21"/>
                    </w:rPr>
                  </w:pPr>
                  <w:r>
                    <w:rPr>
                      <w:snapToGrid w:val="0"/>
                      <w:szCs w:val="21"/>
                    </w:rPr>
                    <w:t>南侧/40m</w:t>
                  </w:r>
                </w:p>
              </w:tc>
              <w:tc>
                <w:tcPr>
                  <w:tcW w:w="1276" w:type="dxa"/>
                  <w:shd w:val="clear" w:color="auto" w:fill="auto"/>
                  <w:noWrap/>
                  <w:vAlign w:val="center"/>
                </w:tcPr>
                <w:p>
                  <w:pPr>
                    <w:spacing w:line="0" w:lineRule="atLeast"/>
                    <w:jc w:val="center"/>
                    <w:rPr>
                      <w:szCs w:val="21"/>
                    </w:rPr>
                  </w:pPr>
                  <w:r>
                    <w:rPr>
                      <w:rFonts w:hint="eastAsia"/>
                      <w:szCs w:val="21"/>
                    </w:rPr>
                    <w:t>0.455</w:t>
                  </w:r>
                </w:p>
              </w:tc>
              <w:tc>
                <w:tcPr>
                  <w:tcW w:w="1360" w:type="dxa"/>
                  <w:noWrap w:val="0"/>
                  <w:vAlign w:val="center"/>
                </w:tcPr>
                <w:p>
                  <w:pPr>
                    <w:spacing w:line="0" w:lineRule="atLeast"/>
                    <w:jc w:val="center"/>
                    <w:rPr>
                      <w:szCs w:val="21"/>
                    </w:rPr>
                  </w:pPr>
                  <w:r>
                    <w:rPr>
                      <w:rFonts w:hint="eastAsia"/>
                      <w:szCs w:val="21"/>
                    </w:rPr>
                    <w:t>0.0115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23" w:type="dxa"/>
                  <w:shd w:val="clear" w:color="auto" w:fill="auto"/>
                  <w:noWrap w:val="0"/>
                  <w:vAlign w:val="center"/>
                </w:tcPr>
                <w:p>
                  <w:pPr>
                    <w:spacing w:line="0" w:lineRule="atLeast"/>
                    <w:jc w:val="center"/>
                    <w:rPr>
                      <w:szCs w:val="21"/>
                    </w:rPr>
                  </w:pPr>
                  <w:r>
                    <w:rPr>
                      <w:rFonts w:hint="eastAsia"/>
                      <w:szCs w:val="21"/>
                    </w:rPr>
                    <w:t>5</w:t>
                  </w:r>
                </w:p>
              </w:tc>
              <w:tc>
                <w:tcPr>
                  <w:tcW w:w="753" w:type="dxa"/>
                  <w:vMerge w:val="continue"/>
                  <w:shd w:val="clear" w:color="auto" w:fill="auto"/>
                  <w:noWrap w:val="0"/>
                  <w:vAlign w:val="top"/>
                </w:tcPr>
                <w:p>
                  <w:pPr>
                    <w:spacing w:line="0" w:lineRule="atLeast"/>
                    <w:jc w:val="center"/>
                    <w:rPr>
                      <w:szCs w:val="21"/>
                    </w:rPr>
                  </w:pPr>
                </w:p>
              </w:tc>
              <w:tc>
                <w:tcPr>
                  <w:tcW w:w="2835" w:type="dxa"/>
                  <w:shd w:val="clear" w:color="auto" w:fill="auto"/>
                  <w:noWrap w:val="0"/>
                  <w:vAlign w:val="center"/>
                </w:tcPr>
                <w:p>
                  <w:pPr>
                    <w:spacing w:line="0" w:lineRule="atLeast"/>
                    <w:jc w:val="center"/>
                    <w:rPr>
                      <w:szCs w:val="21"/>
                      <w:lang w:val="en-GB"/>
                    </w:rPr>
                  </w:pPr>
                  <w:r>
                    <w:rPr>
                      <w:rFonts w:hint="eastAsia"/>
                      <w:szCs w:val="21"/>
                      <w:lang w:val="en-GB"/>
                    </w:rPr>
                    <w:t>规划待建居民区</w:t>
                  </w:r>
                </w:p>
              </w:tc>
              <w:tc>
                <w:tcPr>
                  <w:tcW w:w="1559" w:type="dxa"/>
                  <w:shd w:val="clear" w:color="auto" w:fill="auto"/>
                  <w:noWrap w:val="0"/>
                  <w:vAlign w:val="center"/>
                </w:tcPr>
                <w:p>
                  <w:pPr>
                    <w:spacing w:line="0" w:lineRule="atLeast"/>
                    <w:jc w:val="center"/>
                    <w:rPr>
                      <w:snapToGrid w:val="0"/>
                      <w:szCs w:val="21"/>
                    </w:rPr>
                  </w:pPr>
                  <w:r>
                    <w:rPr>
                      <w:snapToGrid w:val="0"/>
                      <w:szCs w:val="21"/>
                    </w:rPr>
                    <w:t>南侧/40m</w:t>
                  </w:r>
                </w:p>
              </w:tc>
              <w:tc>
                <w:tcPr>
                  <w:tcW w:w="1276" w:type="dxa"/>
                  <w:shd w:val="clear" w:color="auto" w:fill="auto"/>
                  <w:noWrap/>
                  <w:vAlign w:val="center"/>
                </w:tcPr>
                <w:p>
                  <w:pPr>
                    <w:spacing w:line="0" w:lineRule="atLeast"/>
                    <w:jc w:val="center"/>
                    <w:rPr>
                      <w:szCs w:val="21"/>
                    </w:rPr>
                  </w:pPr>
                  <w:r>
                    <w:rPr>
                      <w:rFonts w:hint="eastAsia"/>
                      <w:szCs w:val="21"/>
                    </w:rPr>
                    <w:t>0.503</w:t>
                  </w:r>
                </w:p>
              </w:tc>
              <w:tc>
                <w:tcPr>
                  <w:tcW w:w="1360" w:type="dxa"/>
                  <w:noWrap w:val="0"/>
                  <w:vAlign w:val="center"/>
                </w:tcPr>
                <w:p>
                  <w:pPr>
                    <w:spacing w:line="0" w:lineRule="atLeast"/>
                    <w:jc w:val="center"/>
                    <w:rPr>
                      <w:szCs w:val="21"/>
                    </w:rPr>
                  </w:pPr>
                  <w:r>
                    <w:rPr>
                      <w:rFonts w:hint="eastAsia"/>
                      <w:szCs w:val="21"/>
                    </w:rPr>
                    <w:t>0.0115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23" w:type="dxa"/>
                  <w:shd w:val="clear" w:color="auto" w:fill="auto"/>
                  <w:noWrap w:val="0"/>
                  <w:vAlign w:val="center"/>
                </w:tcPr>
                <w:p>
                  <w:pPr>
                    <w:spacing w:line="0" w:lineRule="atLeast"/>
                    <w:jc w:val="center"/>
                    <w:rPr>
                      <w:szCs w:val="21"/>
                    </w:rPr>
                  </w:pPr>
                  <w:r>
                    <w:rPr>
                      <w:rFonts w:hint="eastAsia"/>
                      <w:szCs w:val="21"/>
                    </w:rPr>
                    <w:t>6</w:t>
                  </w:r>
                </w:p>
              </w:tc>
              <w:tc>
                <w:tcPr>
                  <w:tcW w:w="753" w:type="dxa"/>
                  <w:vMerge w:val="continue"/>
                  <w:shd w:val="clear" w:color="auto" w:fill="auto"/>
                  <w:noWrap w:val="0"/>
                  <w:vAlign w:val="top"/>
                </w:tcPr>
                <w:p>
                  <w:pPr>
                    <w:spacing w:line="0" w:lineRule="atLeast"/>
                    <w:jc w:val="center"/>
                    <w:rPr>
                      <w:szCs w:val="21"/>
                    </w:rPr>
                  </w:pPr>
                </w:p>
              </w:tc>
              <w:tc>
                <w:tcPr>
                  <w:tcW w:w="2835" w:type="dxa"/>
                  <w:shd w:val="clear" w:color="auto" w:fill="auto"/>
                  <w:noWrap w:val="0"/>
                  <w:vAlign w:val="center"/>
                </w:tcPr>
                <w:p>
                  <w:pPr>
                    <w:spacing w:line="0" w:lineRule="atLeast"/>
                    <w:jc w:val="center"/>
                    <w:rPr>
                      <w:szCs w:val="21"/>
                    </w:rPr>
                  </w:pPr>
                  <w:r>
                    <w:rPr>
                      <w:szCs w:val="21"/>
                      <w:lang w:val="en-GB"/>
                    </w:rPr>
                    <w:t>电谷变电站拟建线路下方</w:t>
                  </w:r>
                </w:p>
              </w:tc>
              <w:tc>
                <w:tcPr>
                  <w:tcW w:w="1559" w:type="dxa"/>
                  <w:shd w:val="clear" w:color="auto" w:fill="auto"/>
                  <w:noWrap w:val="0"/>
                  <w:vAlign w:val="center"/>
                </w:tcPr>
                <w:p>
                  <w:pPr>
                    <w:spacing w:line="0" w:lineRule="atLeast"/>
                    <w:jc w:val="center"/>
                    <w:rPr>
                      <w:szCs w:val="21"/>
                    </w:rPr>
                  </w:pPr>
                  <w:r>
                    <w:rPr>
                      <w:rFonts w:hint="eastAsia"/>
                      <w:szCs w:val="21"/>
                    </w:rPr>
                    <w:t>正下方/0m</w:t>
                  </w:r>
                </w:p>
              </w:tc>
              <w:tc>
                <w:tcPr>
                  <w:tcW w:w="1276" w:type="dxa"/>
                  <w:shd w:val="clear" w:color="auto" w:fill="auto"/>
                  <w:noWrap/>
                  <w:vAlign w:val="center"/>
                </w:tcPr>
                <w:p>
                  <w:pPr>
                    <w:spacing w:line="0" w:lineRule="atLeast"/>
                    <w:jc w:val="center"/>
                    <w:rPr>
                      <w:szCs w:val="21"/>
                    </w:rPr>
                  </w:pPr>
                  <w:r>
                    <w:rPr>
                      <w:szCs w:val="21"/>
                    </w:rPr>
                    <w:t>21.5</w:t>
                  </w:r>
                </w:p>
              </w:tc>
              <w:tc>
                <w:tcPr>
                  <w:tcW w:w="1360" w:type="dxa"/>
                  <w:noWrap w:val="0"/>
                  <w:vAlign w:val="center"/>
                </w:tcPr>
                <w:p>
                  <w:pPr>
                    <w:spacing w:line="0" w:lineRule="atLeast"/>
                    <w:jc w:val="center"/>
                    <w:rPr>
                      <w:szCs w:val="21"/>
                    </w:rPr>
                  </w:pPr>
                  <w:r>
                    <w:rPr>
                      <w:szCs w:val="21"/>
                    </w:rPr>
                    <w:t>0.0299</w:t>
                  </w:r>
                </w:p>
              </w:tc>
            </w:tr>
          </w:tbl>
          <w:p>
            <w:pPr>
              <w:spacing w:line="520" w:lineRule="exact"/>
              <w:jc w:val="center"/>
              <w:rPr>
                <w:rFonts w:hint="eastAsia"/>
                <w:b/>
                <w:szCs w:val="21"/>
              </w:rPr>
            </w:pPr>
          </w:p>
          <w:p>
            <w:pPr>
              <w:spacing w:line="520" w:lineRule="exact"/>
              <w:jc w:val="center"/>
              <w:rPr>
                <w:rFonts w:hint="eastAsia"/>
                <w:b/>
                <w:szCs w:val="21"/>
              </w:rPr>
            </w:pPr>
          </w:p>
          <w:p>
            <w:pPr>
              <w:spacing w:line="520" w:lineRule="exact"/>
              <w:jc w:val="center"/>
              <w:rPr>
                <w:rFonts w:hint="eastAsia"/>
                <w:b/>
                <w:szCs w:val="21"/>
              </w:rPr>
            </w:pPr>
          </w:p>
          <w:p>
            <w:pPr>
              <w:spacing w:line="520" w:lineRule="exact"/>
              <w:jc w:val="center"/>
              <w:rPr>
                <w:rFonts w:hint="eastAsia"/>
                <w:b/>
                <w:szCs w:val="21"/>
              </w:rPr>
            </w:pPr>
          </w:p>
          <w:p>
            <w:pPr>
              <w:spacing w:line="520" w:lineRule="exact"/>
              <w:jc w:val="center"/>
              <w:rPr>
                <w:rFonts w:hint="eastAsia"/>
                <w:b/>
                <w:szCs w:val="21"/>
              </w:rPr>
            </w:pPr>
          </w:p>
          <w:p>
            <w:pPr>
              <w:spacing w:line="520" w:lineRule="exact"/>
              <w:jc w:val="center"/>
              <w:rPr>
                <w:rFonts w:hint="eastAsia"/>
                <w:b/>
                <w:szCs w:val="21"/>
              </w:rPr>
            </w:pPr>
          </w:p>
          <w:p>
            <w:pPr>
              <w:spacing w:line="520" w:lineRule="exact"/>
              <w:jc w:val="center"/>
              <w:rPr>
                <w:b/>
                <w:szCs w:val="21"/>
              </w:rPr>
            </w:pPr>
            <w:r>
              <w:rPr>
                <w:b/>
                <w:szCs w:val="21"/>
              </w:rPr>
              <w:t>表</w:t>
            </w:r>
            <w:r>
              <w:rPr>
                <w:rFonts w:hint="eastAsia"/>
                <w:b/>
                <w:szCs w:val="21"/>
              </w:rPr>
              <w:t>4</w:t>
            </w:r>
            <w:r>
              <w:rPr>
                <w:b/>
                <w:szCs w:val="21"/>
              </w:rPr>
              <w:t xml:space="preserve">  </w:t>
            </w:r>
            <w:r>
              <w:rPr>
                <w:b/>
                <w:szCs w:val="21"/>
                <w:lang w:val="en-GB"/>
              </w:rPr>
              <w:t>保定西北郊热电送出工程</w:t>
            </w:r>
            <w:r>
              <w:rPr>
                <w:b/>
                <w:szCs w:val="21"/>
              </w:rPr>
              <w:t>线路噪声现状值监测结果</w:t>
            </w:r>
          </w:p>
          <w:tbl>
            <w:tblPr>
              <w:tblStyle w:val="4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709"/>
              <w:gridCol w:w="2678"/>
              <w:gridCol w:w="1258"/>
              <w:gridCol w:w="1701"/>
              <w:gridCol w:w="15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6" w:hRule="atLeast"/>
              </w:trPr>
              <w:tc>
                <w:tcPr>
                  <w:tcW w:w="276" w:type="pct"/>
                  <w:vMerge w:val="restart"/>
                  <w:noWrap w:val="0"/>
                  <w:vAlign w:val="center"/>
                </w:tcPr>
                <w:p>
                  <w:pPr>
                    <w:spacing w:line="0" w:lineRule="atLeast"/>
                    <w:jc w:val="center"/>
                    <w:rPr>
                      <w:szCs w:val="21"/>
                    </w:rPr>
                  </w:pPr>
                  <w:r>
                    <w:rPr>
                      <w:szCs w:val="21"/>
                    </w:rPr>
                    <w:t>序号</w:t>
                  </w:r>
                </w:p>
              </w:tc>
              <w:tc>
                <w:tcPr>
                  <w:tcW w:w="2039" w:type="pct"/>
                  <w:gridSpan w:val="2"/>
                  <w:vMerge w:val="restart"/>
                  <w:noWrap w:val="0"/>
                  <w:vAlign w:val="center"/>
                </w:tcPr>
                <w:p>
                  <w:pPr>
                    <w:spacing w:line="0" w:lineRule="atLeast"/>
                    <w:jc w:val="center"/>
                    <w:rPr>
                      <w:szCs w:val="21"/>
                    </w:rPr>
                  </w:pPr>
                  <w:r>
                    <w:rPr>
                      <w:szCs w:val="21"/>
                    </w:rPr>
                    <w:t>监测点位</w:t>
                  </w:r>
                </w:p>
              </w:tc>
              <w:tc>
                <w:tcPr>
                  <w:tcW w:w="757" w:type="pct"/>
                  <w:vMerge w:val="restart"/>
                  <w:noWrap w:val="0"/>
                  <w:vAlign w:val="center"/>
                </w:tcPr>
                <w:p>
                  <w:pPr>
                    <w:spacing w:line="0" w:lineRule="atLeast"/>
                    <w:jc w:val="center"/>
                    <w:rPr>
                      <w:szCs w:val="21"/>
                    </w:rPr>
                  </w:pPr>
                  <w:r>
                    <w:rPr>
                      <w:szCs w:val="21"/>
                    </w:rPr>
                    <w:t>距本项目方位/距离</w:t>
                  </w:r>
                </w:p>
              </w:tc>
              <w:tc>
                <w:tcPr>
                  <w:tcW w:w="1928" w:type="pct"/>
                  <w:gridSpan w:val="2"/>
                  <w:noWrap w:val="0"/>
                  <w:vAlign w:val="center"/>
                </w:tcPr>
                <w:p>
                  <w:pPr>
                    <w:spacing w:line="0" w:lineRule="atLeast"/>
                    <w:jc w:val="center"/>
                    <w:rPr>
                      <w:szCs w:val="21"/>
                    </w:rPr>
                  </w:pPr>
                  <w:r>
                    <w:rPr>
                      <w:szCs w:val="21"/>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6" w:hRule="atLeast"/>
              </w:trPr>
              <w:tc>
                <w:tcPr>
                  <w:tcW w:w="276" w:type="pct"/>
                  <w:vMerge w:val="continue"/>
                  <w:noWrap w:val="0"/>
                  <w:vAlign w:val="center"/>
                </w:tcPr>
                <w:p>
                  <w:pPr>
                    <w:spacing w:line="0" w:lineRule="atLeast"/>
                    <w:jc w:val="center"/>
                    <w:rPr>
                      <w:szCs w:val="21"/>
                    </w:rPr>
                  </w:pPr>
                </w:p>
              </w:tc>
              <w:tc>
                <w:tcPr>
                  <w:tcW w:w="2039" w:type="pct"/>
                  <w:gridSpan w:val="2"/>
                  <w:vMerge w:val="continue"/>
                  <w:noWrap w:val="0"/>
                  <w:vAlign w:val="center"/>
                </w:tcPr>
                <w:p>
                  <w:pPr>
                    <w:spacing w:line="0" w:lineRule="atLeast"/>
                    <w:jc w:val="center"/>
                    <w:rPr>
                      <w:szCs w:val="21"/>
                    </w:rPr>
                  </w:pPr>
                </w:p>
              </w:tc>
              <w:tc>
                <w:tcPr>
                  <w:tcW w:w="757" w:type="pct"/>
                  <w:vMerge w:val="continue"/>
                  <w:noWrap w:val="0"/>
                  <w:vAlign w:val="center"/>
                </w:tcPr>
                <w:p>
                  <w:pPr>
                    <w:spacing w:line="0" w:lineRule="atLeast"/>
                    <w:jc w:val="center"/>
                    <w:rPr>
                      <w:szCs w:val="21"/>
                    </w:rPr>
                  </w:pPr>
                </w:p>
              </w:tc>
              <w:tc>
                <w:tcPr>
                  <w:tcW w:w="1024" w:type="pct"/>
                  <w:noWrap w:val="0"/>
                  <w:vAlign w:val="center"/>
                </w:tcPr>
                <w:p>
                  <w:pPr>
                    <w:spacing w:line="0" w:lineRule="atLeast"/>
                    <w:jc w:val="center"/>
                    <w:rPr>
                      <w:szCs w:val="21"/>
                    </w:rPr>
                  </w:pPr>
                  <w:r>
                    <w:rPr>
                      <w:szCs w:val="21"/>
                    </w:rPr>
                    <w:t>昼间（dB（A））</w:t>
                  </w:r>
                </w:p>
              </w:tc>
              <w:tc>
                <w:tcPr>
                  <w:tcW w:w="904" w:type="pct"/>
                  <w:noWrap w:val="0"/>
                  <w:vAlign w:val="center"/>
                </w:tcPr>
                <w:p>
                  <w:pPr>
                    <w:spacing w:line="0" w:lineRule="atLeast"/>
                    <w:jc w:val="center"/>
                    <w:rPr>
                      <w:szCs w:val="21"/>
                    </w:rPr>
                  </w:pPr>
                  <w:r>
                    <w:rPr>
                      <w:szCs w:val="21"/>
                    </w:rPr>
                    <w:t>昼间（dB（A））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7" w:hRule="atLeast"/>
              </w:trPr>
              <w:tc>
                <w:tcPr>
                  <w:tcW w:w="276" w:type="pct"/>
                  <w:noWrap w:val="0"/>
                  <w:vAlign w:val="center"/>
                </w:tcPr>
                <w:p>
                  <w:pPr>
                    <w:spacing w:line="0" w:lineRule="atLeast"/>
                    <w:jc w:val="center"/>
                    <w:rPr>
                      <w:szCs w:val="21"/>
                    </w:rPr>
                  </w:pPr>
                  <w:r>
                    <w:rPr>
                      <w:szCs w:val="21"/>
                    </w:rPr>
                    <w:t>1</w:t>
                  </w:r>
                </w:p>
              </w:tc>
              <w:tc>
                <w:tcPr>
                  <w:tcW w:w="427" w:type="pct"/>
                  <w:vMerge w:val="restart"/>
                  <w:noWrap w:val="0"/>
                  <w:vAlign w:val="center"/>
                </w:tcPr>
                <w:p>
                  <w:pPr>
                    <w:spacing w:line="0" w:lineRule="atLeast"/>
                    <w:jc w:val="center"/>
                    <w:rPr>
                      <w:szCs w:val="21"/>
                    </w:rPr>
                  </w:pPr>
                  <w:r>
                    <w:rPr>
                      <w:szCs w:val="21"/>
                      <w:lang w:val="en-GB"/>
                    </w:rPr>
                    <w:t>保定西北郊电厂至电谷变电站拟建线路</w:t>
                  </w:r>
                </w:p>
              </w:tc>
              <w:tc>
                <w:tcPr>
                  <w:tcW w:w="1612" w:type="pct"/>
                  <w:noWrap w:val="0"/>
                  <w:vAlign w:val="center"/>
                </w:tcPr>
                <w:p>
                  <w:pPr>
                    <w:spacing w:line="0" w:lineRule="atLeast"/>
                    <w:jc w:val="center"/>
                    <w:rPr>
                      <w:szCs w:val="21"/>
                    </w:rPr>
                  </w:pPr>
                  <w:r>
                    <w:rPr>
                      <w:szCs w:val="21"/>
                      <w:lang w:val="en-GB"/>
                    </w:rPr>
                    <w:t>保定西北郊热电送出工程拟建线路下方</w:t>
                  </w:r>
                </w:p>
              </w:tc>
              <w:tc>
                <w:tcPr>
                  <w:tcW w:w="757" w:type="pct"/>
                  <w:noWrap w:val="0"/>
                  <w:vAlign w:val="center"/>
                </w:tcPr>
                <w:p>
                  <w:pPr>
                    <w:spacing w:line="0" w:lineRule="atLeast"/>
                    <w:jc w:val="center"/>
                    <w:rPr>
                      <w:szCs w:val="21"/>
                    </w:rPr>
                  </w:pPr>
                  <w:r>
                    <w:rPr>
                      <w:rFonts w:hint="eastAsia"/>
                      <w:szCs w:val="21"/>
                    </w:rPr>
                    <w:t>正下方/0m</w:t>
                  </w:r>
                </w:p>
              </w:tc>
              <w:tc>
                <w:tcPr>
                  <w:tcW w:w="1024" w:type="pct"/>
                  <w:noWrap w:val="0"/>
                  <w:vAlign w:val="center"/>
                </w:tcPr>
                <w:p>
                  <w:pPr>
                    <w:spacing w:line="0" w:lineRule="atLeast"/>
                    <w:jc w:val="center"/>
                    <w:rPr>
                      <w:szCs w:val="21"/>
                    </w:rPr>
                  </w:pPr>
                  <w:r>
                    <w:rPr>
                      <w:szCs w:val="21"/>
                    </w:rPr>
                    <w:t>38.7</w:t>
                  </w:r>
                </w:p>
              </w:tc>
              <w:tc>
                <w:tcPr>
                  <w:tcW w:w="904" w:type="pct"/>
                  <w:noWrap w:val="0"/>
                  <w:vAlign w:val="center"/>
                </w:tcPr>
                <w:p>
                  <w:pPr>
                    <w:spacing w:line="0" w:lineRule="atLeast"/>
                    <w:jc w:val="center"/>
                    <w:rPr>
                      <w:szCs w:val="21"/>
                    </w:rPr>
                  </w:pPr>
                  <w:r>
                    <w:rPr>
                      <w:szCs w:val="21"/>
                    </w:rPr>
                    <w:t>34.9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7" w:hRule="atLeast"/>
              </w:trPr>
              <w:tc>
                <w:tcPr>
                  <w:tcW w:w="276" w:type="pct"/>
                  <w:noWrap w:val="0"/>
                  <w:vAlign w:val="center"/>
                </w:tcPr>
                <w:p>
                  <w:pPr>
                    <w:spacing w:line="0" w:lineRule="atLeast"/>
                    <w:jc w:val="center"/>
                    <w:rPr>
                      <w:szCs w:val="21"/>
                    </w:rPr>
                  </w:pPr>
                  <w:r>
                    <w:rPr>
                      <w:szCs w:val="21"/>
                    </w:rPr>
                    <w:t>2</w:t>
                  </w:r>
                </w:p>
              </w:tc>
              <w:tc>
                <w:tcPr>
                  <w:tcW w:w="427" w:type="pct"/>
                  <w:vMerge w:val="continue"/>
                  <w:noWrap w:val="0"/>
                  <w:vAlign w:val="center"/>
                </w:tcPr>
                <w:p>
                  <w:pPr>
                    <w:spacing w:line="0" w:lineRule="atLeast"/>
                    <w:jc w:val="center"/>
                    <w:rPr>
                      <w:szCs w:val="21"/>
                    </w:rPr>
                  </w:pPr>
                </w:p>
              </w:tc>
              <w:tc>
                <w:tcPr>
                  <w:tcW w:w="1612" w:type="pct"/>
                  <w:noWrap w:val="0"/>
                  <w:vAlign w:val="center"/>
                </w:tcPr>
                <w:p>
                  <w:pPr>
                    <w:spacing w:line="0" w:lineRule="atLeast"/>
                    <w:jc w:val="center"/>
                    <w:rPr>
                      <w:szCs w:val="21"/>
                    </w:rPr>
                  </w:pPr>
                  <w:r>
                    <w:rPr>
                      <w:szCs w:val="21"/>
                      <w:lang w:val="en-GB"/>
                    </w:rPr>
                    <w:t>拟建线路南侧贾庄村民房（敏感点）</w:t>
                  </w:r>
                </w:p>
              </w:tc>
              <w:tc>
                <w:tcPr>
                  <w:tcW w:w="757" w:type="pct"/>
                  <w:noWrap w:val="0"/>
                  <w:vAlign w:val="center"/>
                </w:tcPr>
                <w:p>
                  <w:pPr>
                    <w:spacing w:line="0" w:lineRule="atLeast"/>
                    <w:jc w:val="center"/>
                    <w:rPr>
                      <w:szCs w:val="21"/>
                    </w:rPr>
                  </w:pPr>
                  <w:r>
                    <w:rPr>
                      <w:rFonts w:hint="eastAsia"/>
                      <w:snapToGrid w:val="0"/>
                      <w:szCs w:val="21"/>
                    </w:rPr>
                    <w:t>南</w:t>
                  </w:r>
                  <w:r>
                    <w:rPr>
                      <w:snapToGrid w:val="0"/>
                      <w:szCs w:val="21"/>
                    </w:rPr>
                    <w:t>侧/</w:t>
                  </w:r>
                  <w:r>
                    <w:rPr>
                      <w:rFonts w:hint="eastAsia"/>
                      <w:snapToGrid w:val="0"/>
                      <w:szCs w:val="21"/>
                    </w:rPr>
                    <w:t>35</w:t>
                  </w:r>
                  <w:r>
                    <w:rPr>
                      <w:snapToGrid w:val="0"/>
                      <w:szCs w:val="21"/>
                    </w:rPr>
                    <w:t>m</w:t>
                  </w:r>
                </w:p>
              </w:tc>
              <w:tc>
                <w:tcPr>
                  <w:tcW w:w="1024" w:type="pct"/>
                  <w:noWrap w:val="0"/>
                  <w:vAlign w:val="center"/>
                </w:tcPr>
                <w:p>
                  <w:pPr>
                    <w:spacing w:line="0" w:lineRule="atLeast"/>
                    <w:jc w:val="center"/>
                    <w:rPr>
                      <w:szCs w:val="21"/>
                    </w:rPr>
                  </w:pPr>
                  <w:r>
                    <w:rPr>
                      <w:szCs w:val="21"/>
                    </w:rPr>
                    <w:t>44.6</w:t>
                  </w:r>
                </w:p>
              </w:tc>
              <w:tc>
                <w:tcPr>
                  <w:tcW w:w="904" w:type="pct"/>
                  <w:noWrap w:val="0"/>
                  <w:vAlign w:val="center"/>
                </w:tcPr>
                <w:p>
                  <w:pPr>
                    <w:spacing w:line="0" w:lineRule="atLeast"/>
                    <w:jc w:val="center"/>
                    <w:rPr>
                      <w:szCs w:val="21"/>
                    </w:rPr>
                  </w:pPr>
                  <w:r>
                    <w:rPr>
                      <w:szCs w:val="21"/>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7" w:hRule="atLeast"/>
              </w:trPr>
              <w:tc>
                <w:tcPr>
                  <w:tcW w:w="276" w:type="pct"/>
                  <w:noWrap w:val="0"/>
                  <w:vAlign w:val="center"/>
                </w:tcPr>
                <w:p>
                  <w:pPr>
                    <w:spacing w:line="0" w:lineRule="atLeast"/>
                    <w:jc w:val="center"/>
                    <w:rPr>
                      <w:szCs w:val="21"/>
                    </w:rPr>
                  </w:pPr>
                  <w:r>
                    <w:rPr>
                      <w:szCs w:val="21"/>
                    </w:rPr>
                    <w:t>3</w:t>
                  </w:r>
                </w:p>
              </w:tc>
              <w:tc>
                <w:tcPr>
                  <w:tcW w:w="427" w:type="pct"/>
                  <w:vMerge w:val="continue"/>
                  <w:noWrap w:val="0"/>
                  <w:vAlign w:val="center"/>
                </w:tcPr>
                <w:p>
                  <w:pPr>
                    <w:spacing w:line="0" w:lineRule="atLeast"/>
                    <w:jc w:val="center"/>
                    <w:rPr>
                      <w:szCs w:val="21"/>
                    </w:rPr>
                  </w:pPr>
                </w:p>
              </w:tc>
              <w:tc>
                <w:tcPr>
                  <w:tcW w:w="1612" w:type="pct"/>
                  <w:noWrap w:val="0"/>
                  <w:vAlign w:val="center"/>
                </w:tcPr>
                <w:p>
                  <w:pPr>
                    <w:spacing w:line="0" w:lineRule="atLeast"/>
                    <w:jc w:val="center"/>
                    <w:rPr>
                      <w:szCs w:val="21"/>
                    </w:rPr>
                  </w:pPr>
                  <w:r>
                    <w:rPr>
                      <w:szCs w:val="21"/>
                      <w:lang w:val="en-GB"/>
                    </w:rPr>
                    <w:t>拟建线路北侧贾庄村民房（敏感点）</w:t>
                  </w:r>
                </w:p>
              </w:tc>
              <w:tc>
                <w:tcPr>
                  <w:tcW w:w="757" w:type="pct"/>
                  <w:noWrap w:val="0"/>
                  <w:vAlign w:val="center"/>
                </w:tcPr>
                <w:p>
                  <w:pPr>
                    <w:spacing w:line="0" w:lineRule="atLeast"/>
                    <w:jc w:val="center"/>
                    <w:rPr>
                      <w:szCs w:val="21"/>
                    </w:rPr>
                  </w:pPr>
                  <w:r>
                    <w:rPr>
                      <w:rFonts w:hint="eastAsia"/>
                      <w:snapToGrid w:val="0"/>
                      <w:szCs w:val="21"/>
                    </w:rPr>
                    <w:t>北</w:t>
                  </w:r>
                  <w:r>
                    <w:rPr>
                      <w:snapToGrid w:val="0"/>
                      <w:szCs w:val="21"/>
                    </w:rPr>
                    <w:t>侧/3</w:t>
                  </w:r>
                  <w:r>
                    <w:rPr>
                      <w:rFonts w:hint="eastAsia"/>
                      <w:snapToGrid w:val="0"/>
                      <w:szCs w:val="21"/>
                    </w:rPr>
                    <w:t>8</w:t>
                  </w:r>
                  <w:r>
                    <w:rPr>
                      <w:snapToGrid w:val="0"/>
                      <w:szCs w:val="21"/>
                    </w:rPr>
                    <w:t>m</w:t>
                  </w:r>
                </w:p>
              </w:tc>
              <w:tc>
                <w:tcPr>
                  <w:tcW w:w="1024" w:type="pct"/>
                  <w:noWrap w:val="0"/>
                  <w:vAlign w:val="center"/>
                </w:tcPr>
                <w:p>
                  <w:pPr>
                    <w:spacing w:line="0" w:lineRule="atLeast"/>
                    <w:jc w:val="center"/>
                    <w:rPr>
                      <w:szCs w:val="21"/>
                    </w:rPr>
                  </w:pPr>
                  <w:r>
                    <w:rPr>
                      <w:szCs w:val="21"/>
                    </w:rPr>
                    <w:t>54.8</w:t>
                  </w:r>
                </w:p>
              </w:tc>
              <w:tc>
                <w:tcPr>
                  <w:tcW w:w="904" w:type="pct"/>
                  <w:noWrap w:val="0"/>
                  <w:vAlign w:val="center"/>
                </w:tcPr>
                <w:p>
                  <w:pPr>
                    <w:spacing w:line="0" w:lineRule="atLeast"/>
                    <w:jc w:val="center"/>
                    <w:rPr>
                      <w:szCs w:val="21"/>
                    </w:rPr>
                  </w:pPr>
                  <w:r>
                    <w:rPr>
                      <w:szCs w:val="21"/>
                    </w:rPr>
                    <w:t>38.0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7" w:hRule="atLeast"/>
              </w:trPr>
              <w:tc>
                <w:tcPr>
                  <w:tcW w:w="276" w:type="pct"/>
                  <w:noWrap w:val="0"/>
                  <w:vAlign w:val="center"/>
                </w:tcPr>
                <w:p>
                  <w:pPr>
                    <w:spacing w:line="0" w:lineRule="atLeast"/>
                    <w:jc w:val="center"/>
                    <w:rPr>
                      <w:szCs w:val="21"/>
                    </w:rPr>
                  </w:pPr>
                  <w:r>
                    <w:rPr>
                      <w:rFonts w:hint="eastAsia"/>
                      <w:szCs w:val="21"/>
                    </w:rPr>
                    <w:t>4</w:t>
                  </w:r>
                </w:p>
              </w:tc>
              <w:tc>
                <w:tcPr>
                  <w:tcW w:w="427" w:type="pct"/>
                  <w:vMerge w:val="continue"/>
                  <w:noWrap w:val="0"/>
                  <w:vAlign w:val="center"/>
                </w:tcPr>
                <w:p>
                  <w:pPr>
                    <w:spacing w:line="0" w:lineRule="atLeast"/>
                    <w:jc w:val="center"/>
                    <w:rPr>
                      <w:szCs w:val="21"/>
                    </w:rPr>
                  </w:pPr>
                </w:p>
              </w:tc>
              <w:tc>
                <w:tcPr>
                  <w:tcW w:w="1612" w:type="pct"/>
                  <w:noWrap w:val="0"/>
                  <w:vAlign w:val="center"/>
                </w:tcPr>
                <w:p>
                  <w:pPr>
                    <w:spacing w:line="0" w:lineRule="atLeast"/>
                    <w:jc w:val="center"/>
                    <w:rPr>
                      <w:szCs w:val="21"/>
                      <w:lang w:val="en-GB"/>
                    </w:rPr>
                  </w:pPr>
                  <w:r>
                    <w:rPr>
                      <w:rFonts w:hint="eastAsia"/>
                      <w:szCs w:val="21"/>
                      <w:lang w:val="en-GB"/>
                    </w:rPr>
                    <w:t>规划待建学校</w:t>
                  </w:r>
                </w:p>
              </w:tc>
              <w:tc>
                <w:tcPr>
                  <w:tcW w:w="757" w:type="pct"/>
                  <w:noWrap w:val="0"/>
                  <w:vAlign w:val="center"/>
                </w:tcPr>
                <w:p>
                  <w:pPr>
                    <w:spacing w:line="0" w:lineRule="atLeast"/>
                    <w:jc w:val="center"/>
                    <w:rPr>
                      <w:snapToGrid w:val="0"/>
                      <w:szCs w:val="21"/>
                    </w:rPr>
                  </w:pPr>
                  <w:r>
                    <w:rPr>
                      <w:snapToGrid w:val="0"/>
                      <w:szCs w:val="21"/>
                    </w:rPr>
                    <w:t>南侧/40m</w:t>
                  </w:r>
                </w:p>
              </w:tc>
              <w:tc>
                <w:tcPr>
                  <w:tcW w:w="1024" w:type="pct"/>
                  <w:noWrap w:val="0"/>
                  <w:vAlign w:val="center"/>
                </w:tcPr>
                <w:p>
                  <w:pPr>
                    <w:spacing w:line="0" w:lineRule="atLeast"/>
                    <w:jc w:val="center"/>
                    <w:rPr>
                      <w:szCs w:val="21"/>
                    </w:rPr>
                  </w:pPr>
                  <w:r>
                    <w:rPr>
                      <w:rFonts w:hint="eastAsia"/>
                      <w:szCs w:val="21"/>
                    </w:rPr>
                    <w:t>50.5</w:t>
                  </w:r>
                </w:p>
              </w:tc>
              <w:tc>
                <w:tcPr>
                  <w:tcW w:w="904" w:type="pct"/>
                  <w:noWrap w:val="0"/>
                  <w:vAlign w:val="center"/>
                </w:tcPr>
                <w:p>
                  <w:pPr>
                    <w:spacing w:line="0" w:lineRule="atLeast"/>
                    <w:jc w:val="center"/>
                    <w:rPr>
                      <w:szCs w:val="21"/>
                    </w:rPr>
                  </w:pPr>
                  <w:r>
                    <w:rPr>
                      <w:rFonts w:hint="eastAsia"/>
                      <w:szCs w:val="21"/>
                    </w:rPr>
                    <w:t>35.3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7" w:hRule="atLeast"/>
              </w:trPr>
              <w:tc>
                <w:tcPr>
                  <w:tcW w:w="276" w:type="pct"/>
                  <w:noWrap w:val="0"/>
                  <w:vAlign w:val="center"/>
                </w:tcPr>
                <w:p>
                  <w:pPr>
                    <w:spacing w:line="0" w:lineRule="atLeast"/>
                    <w:jc w:val="center"/>
                    <w:rPr>
                      <w:szCs w:val="21"/>
                    </w:rPr>
                  </w:pPr>
                  <w:r>
                    <w:rPr>
                      <w:rFonts w:hint="eastAsia"/>
                      <w:szCs w:val="21"/>
                    </w:rPr>
                    <w:t>5</w:t>
                  </w:r>
                </w:p>
              </w:tc>
              <w:tc>
                <w:tcPr>
                  <w:tcW w:w="427" w:type="pct"/>
                  <w:vMerge w:val="continue"/>
                  <w:noWrap w:val="0"/>
                  <w:vAlign w:val="center"/>
                </w:tcPr>
                <w:p>
                  <w:pPr>
                    <w:spacing w:line="0" w:lineRule="atLeast"/>
                    <w:jc w:val="center"/>
                    <w:rPr>
                      <w:szCs w:val="21"/>
                    </w:rPr>
                  </w:pPr>
                </w:p>
              </w:tc>
              <w:tc>
                <w:tcPr>
                  <w:tcW w:w="1612" w:type="pct"/>
                  <w:noWrap w:val="0"/>
                  <w:vAlign w:val="center"/>
                </w:tcPr>
                <w:p>
                  <w:pPr>
                    <w:spacing w:line="0" w:lineRule="atLeast"/>
                    <w:jc w:val="center"/>
                    <w:rPr>
                      <w:szCs w:val="21"/>
                      <w:lang w:val="en-GB"/>
                    </w:rPr>
                  </w:pPr>
                  <w:r>
                    <w:rPr>
                      <w:rFonts w:hint="eastAsia"/>
                      <w:szCs w:val="21"/>
                      <w:lang w:val="en-GB"/>
                    </w:rPr>
                    <w:t>规划待建居民区</w:t>
                  </w:r>
                </w:p>
              </w:tc>
              <w:tc>
                <w:tcPr>
                  <w:tcW w:w="757" w:type="pct"/>
                  <w:noWrap w:val="0"/>
                  <w:vAlign w:val="center"/>
                </w:tcPr>
                <w:p>
                  <w:pPr>
                    <w:spacing w:line="0" w:lineRule="atLeast"/>
                    <w:jc w:val="center"/>
                    <w:rPr>
                      <w:snapToGrid w:val="0"/>
                      <w:szCs w:val="21"/>
                    </w:rPr>
                  </w:pPr>
                  <w:r>
                    <w:rPr>
                      <w:snapToGrid w:val="0"/>
                      <w:szCs w:val="21"/>
                    </w:rPr>
                    <w:t>南侧/40m</w:t>
                  </w:r>
                </w:p>
              </w:tc>
              <w:tc>
                <w:tcPr>
                  <w:tcW w:w="1024" w:type="pct"/>
                  <w:noWrap w:val="0"/>
                  <w:vAlign w:val="center"/>
                </w:tcPr>
                <w:p>
                  <w:pPr>
                    <w:spacing w:line="0" w:lineRule="atLeast"/>
                    <w:jc w:val="center"/>
                    <w:rPr>
                      <w:szCs w:val="21"/>
                    </w:rPr>
                  </w:pPr>
                  <w:r>
                    <w:rPr>
                      <w:rFonts w:hint="eastAsia"/>
                      <w:szCs w:val="21"/>
                    </w:rPr>
                    <w:t>34.4</w:t>
                  </w:r>
                </w:p>
              </w:tc>
              <w:tc>
                <w:tcPr>
                  <w:tcW w:w="904" w:type="pct"/>
                  <w:noWrap w:val="0"/>
                  <w:vAlign w:val="center"/>
                </w:tcPr>
                <w:p>
                  <w:pPr>
                    <w:spacing w:line="0" w:lineRule="atLeast"/>
                    <w:jc w:val="center"/>
                    <w:rPr>
                      <w:szCs w:val="21"/>
                    </w:rPr>
                  </w:pPr>
                  <w:r>
                    <w:rPr>
                      <w:rFonts w:hint="eastAsia"/>
                      <w:szCs w:val="21"/>
                    </w:rPr>
                    <w:t>34.1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7" w:hRule="atLeast"/>
              </w:trPr>
              <w:tc>
                <w:tcPr>
                  <w:tcW w:w="276" w:type="pct"/>
                  <w:noWrap w:val="0"/>
                  <w:vAlign w:val="center"/>
                </w:tcPr>
                <w:p>
                  <w:pPr>
                    <w:spacing w:line="0" w:lineRule="atLeast"/>
                    <w:jc w:val="center"/>
                    <w:rPr>
                      <w:szCs w:val="21"/>
                    </w:rPr>
                  </w:pPr>
                  <w:r>
                    <w:rPr>
                      <w:rFonts w:hint="eastAsia"/>
                      <w:szCs w:val="21"/>
                    </w:rPr>
                    <w:t>6</w:t>
                  </w:r>
                </w:p>
              </w:tc>
              <w:tc>
                <w:tcPr>
                  <w:tcW w:w="427" w:type="pct"/>
                  <w:vMerge w:val="continue"/>
                  <w:noWrap w:val="0"/>
                  <w:vAlign w:val="center"/>
                </w:tcPr>
                <w:p>
                  <w:pPr>
                    <w:spacing w:line="0" w:lineRule="atLeast"/>
                    <w:jc w:val="center"/>
                    <w:rPr>
                      <w:szCs w:val="21"/>
                    </w:rPr>
                  </w:pPr>
                </w:p>
              </w:tc>
              <w:tc>
                <w:tcPr>
                  <w:tcW w:w="1612" w:type="pct"/>
                  <w:noWrap w:val="0"/>
                  <w:vAlign w:val="center"/>
                </w:tcPr>
                <w:p>
                  <w:pPr>
                    <w:spacing w:line="0" w:lineRule="atLeast"/>
                    <w:jc w:val="center"/>
                    <w:rPr>
                      <w:szCs w:val="21"/>
                    </w:rPr>
                  </w:pPr>
                  <w:r>
                    <w:rPr>
                      <w:szCs w:val="21"/>
                      <w:lang w:val="en-GB"/>
                    </w:rPr>
                    <w:t>电谷变电站拟建线路下方</w:t>
                  </w:r>
                </w:p>
              </w:tc>
              <w:tc>
                <w:tcPr>
                  <w:tcW w:w="757" w:type="pct"/>
                  <w:noWrap w:val="0"/>
                  <w:vAlign w:val="center"/>
                </w:tcPr>
                <w:p>
                  <w:pPr>
                    <w:spacing w:line="0" w:lineRule="atLeast"/>
                    <w:jc w:val="center"/>
                    <w:rPr>
                      <w:szCs w:val="21"/>
                    </w:rPr>
                  </w:pPr>
                  <w:r>
                    <w:rPr>
                      <w:rFonts w:hint="eastAsia"/>
                      <w:szCs w:val="21"/>
                    </w:rPr>
                    <w:t>正下方/0m</w:t>
                  </w:r>
                </w:p>
              </w:tc>
              <w:tc>
                <w:tcPr>
                  <w:tcW w:w="1024" w:type="pct"/>
                  <w:noWrap w:val="0"/>
                  <w:vAlign w:val="center"/>
                </w:tcPr>
                <w:p>
                  <w:pPr>
                    <w:spacing w:line="0" w:lineRule="atLeast"/>
                    <w:jc w:val="center"/>
                    <w:rPr>
                      <w:szCs w:val="21"/>
                    </w:rPr>
                  </w:pPr>
                  <w:r>
                    <w:rPr>
                      <w:szCs w:val="21"/>
                    </w:rPr>
                    <w:t>38.5</w:t>
                  </w:r>
                </w:p>
              </w:tc>
              <w:tc>
                <w:tcPr>
                  <w:tcW w:w="904" w:type="pct"/>
                  <w:noWrap w:val="0"/>
                  <w:vAlign w:val="center"/>
                </w:tcPr>
                <w:p>
                  <w:pPr>
                    <w:spacing w:line="0" w:lineRule="atLeast"/>
                    <w:jc w:val="center"/>
                    <w:rPr>
                      <w:szCs w:val="21"/>
                    </w:rPr>
                  </w:pPr>
                  <w:r>
                    <w:rPr>
                      <w:szCs w:val="21"/>
                    </w:rPr>
                    <w:t>34.0</w:t>
                  </w:r>
                </w:p>
              </w:tc>
            </w:tr>
          </w:tbl>
          <w:p>
            <w:pPr>
              <w:spacing w:line="480" w:lineRule="exact"/>
              <w:ind w:firstLine="480" w:firstLineChars="200"/>
              <w:rPr>
                <w:sz w:val="24"/>
              </w:rPr>
            </w:pPr>
            <w:r>
              <w:rPr>
                <w:sz w:val="24"/>
              </w:rPr>
              <w:t>由表</w:t>
            </w:r>
            <w:r>
              <w:rPr>
                <w:rFonts w:hint="eastAsia"/>
                <w:sz w:val="24"/>
              </w:rPr>
              <w:t>3</w:t>
            </w:r>
            <w:r>
              <w:rPr>
                <w:sz w:val="24"/>
              </w:rPr>
              <w:t>可以看出，</w:t>
            </w:r>
            <w:r>
              <w:rPr>
                <w:bCs/>
                <w:sz w:val="24"/>
                <w:szCs w:val="21"/>
              </w:rPr>
              <w:t>现状监测结果表明，拟建线路路径的背景工频电场、工频磁感应强度综合量分别符合4kV/m、100μT的评价标准。</w:t>
            </w:r>
          </w:p>
          <w:p>
            <w:pPr>
              <w:pStyle w:val="21"/>
              <w:spacing w:line="480" w:lineRule="exact"/>
              <w:ind w:firstLine="420"/>
              <w:rPr>
                <w:rFonts w:ascii="Times New Roman" w:hAnsi="Times New Roman"/>
                <w:bCs/>
                <w:sz w:val="24"/>
              </w:rPr>
            </w:pPr>
            <w:r>
              <w:rPr>
                <w:rFonts w:ascii="Times New Roman" w:hAnsi="Times New Roman"/>
                <w:bCs/>
                <w:sz w:val="24"/>
              </w:rPr>
              <w:t>由表</w:t>
            </w:r>
            <w:r>
              <w:rPr>
                <w:rFonts w:hint="eastAsia" w:ascii="Times New Roman" w:hAnsi="Times New Roman"/>
                <w:bCs/>
                <w:sz w:val="24"/>
              </w:rPr>
              <w:t>4</w:t>
            </w:r>
            <w:r>
              <w:rPr>
                <w:rFonts w:ascii="Times New Roman" w:hAnsi="Times New Roman"/>
                <w:bCs/>
                <w:sz w:val="24"/>
              </w:rPr>
              <w:t>可以看出，拟建线路下方昼间噪声现状值昼间为38.5dB(A)—54.8dB(A)，夜间为34.0dB(A)—38.0dB(A)，符合《声环境质量标准》（</w:t>
            </w:r>
            <w:r>
              <w:rPr>
                <w:rFonts w:ascii="Times New Roman" w:hAnsi="Times New Roman"/>
                <w:sz w:val="24"/>
              </w:rPr>
              <w:t>GB3096－2008</w:t>
            </w:r>
            <w:r>
              <w:rPr>
                <w:rFonts w:ascii="Times New Roman" w:hAnsi="Times New Roman"/>
                <w:bCs/>
                <w:sz w:val="24"/>
              </w:rPr>
              <w:t>）</w:t>
            </w:r>
            <w:r>
              <w:rPr>
                <w:rFonts w:hint="eastAsia" w:ascii="Times New Roman" w:hAnsi="Times New Roman"/>
                <w:bCs/>
                <w:sz w:val="24"/>
              </w:rPr>
              <w:t>1</w:t>
            </w:r>
            <w:r>
              <w:rPr>
                <w:rFonts w:ascii="Times New Roman" w:hAnsi="Times New Roman"/>
                <w:bCs/>
                <w:sz w:val="24"/>
              </w:rPr>
              <w:t>类标准。</w:t>
            </w:r>
          </w:p>
          <w:p>
            <w:pPr>
              <w:pStyle w:val="21"/>
              <w:spacing w:line="480" w:lineRule="exact"/>
              <w:ind w:firstLine="420"/>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hint="eastAsia" w:ascii="Times New Roman" w:hAnsi="Times New Roman"/>
                <w:bCs/>
                <w:sz w:val="24"/>
              </w:rPr>
            </w:pPr>
          </w:p>
          <w:p>
            <w:pPr>
              <w:pStyle w:val="21"/>
              <w:spacing w:line="480" w:lineRule="exact"/>
              <w:rPr>
                <w:rFonts w:ascii="Times New Roman" w:hAnsi="Times New Roman"/>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bottom w:val="single" w:color="auto" w:sz="4" w:space="0"/>
            </w:tcBorders>
            <w:noWrap w:val="0"/>
            <w:vAlign w:val="top"/>
          </w:tcPr>
          <w:p>
            <w:pPr>
              <w:spacing w:before="156" w:beforeLines="50" w:line="360" w:lineRule="auto"/>
              <w:rPr>
                <w:rFonts w:eastAsia="黑体"/>
                <w:sz w:val="28"/>
              </w:rPr>
            </w:pPr>
            <w:r>
              <w:rPr>
                <w:rFonts w:eastAsia="黑体"/>
                <w:sz w:val="28"/>
              </w:rPr>
              <w:t>主要环境保护目标(列出名单及保护级别)</w:t>
            </w:r>
          </w:p>
          <w:p>
            <w:pPr>
              <w:snapToGrid w:val="0"/>
              <w:spacing w:line="360" w:lineRule="auto"/>
              <w:ind w:firstLine="480" w:firstLineChars="200"/>
              <w:rPr>
                <w:sz w:val="24"/>
              </w:rPr>
            </w:pPr>
            <w:r>
              <w:rPr>
                <w:sz w:val="24"/>
              </w:rPr>
              <w:t>根据现状调查，该项目区周边附近无国家、省、市重点保护文物、自然保护区、濒危珍稀动植物和风景旅游区等重点保护目标。输电线路的评价范围为线路边导线地面投影外两侧各40m带状区域，本项目敏感保护目标见表</w:t>
            </w:r>
            <w:r>
              <w:rPr>
                <w:rFonts w:hint="eastAsia"/>
                <w:sz w:val="24"/>
              </w:rPr>
              <w:t>5</w:t>
            </w:r>
            <w:r>
              <w:rPr>
                <w:sz w:val="24"/>
              </w:rPr>
              <w:t>所示。</w:t>
            </w:r>
          </w:p>
          <w:p>
            <w:pPr>
              <w:spacing w:line="440" w:lineRule="exact"/>
              <w:jc w:val="center"/>
              <w:rPr>
                <w:b/>
                <w:szCs w:val="21"/>
              </w:rPr>
            </w:pPr>
            <w:r>
              <w:rPr>
                <w:b/>
                <w:szCs w:val="21"/>
              </w:rPr>
              <w:t>表</w:t>
            </w:r>
            <w:r>
              <w:rPr>
                <w:rFonts w:hint="eastAsia"/>
                <w:b/>
                <w:szCs w:val="21"/>
              </w:rPr>
              <w:t>5</w:t>
            </w:r>
            <w:r>
              <w:rPr>
                <w:b/>
                <w:szCs w:val="21"/>
              </w:rPr>
              <w:t xml:space="preserve">  环境保护目标一览表</w:t>
            </w:r>
          </w:p>
          <w:tbl>
            <w:tblPr>
              <w:tblStyle w:val="4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284"/>
              <w:gridCol w:w="1559"/>
              <w:gridCol w:w="1559"/>
              <w:gridCol w:w="1276"/>
              <w:gridCol w:w="1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4" w:hRule="atLeast"/>
                <w:jc w:val="center"/>
              </w:trPr>
              <w:tc>
                <w:tcPr>
                  <w:tcW w:w="701" w:type="dxa"/>
                  <w:vMerge w:val="restart"/>
                  <w:noWrap w:val="0"/>
                  <w:vAlign w:val="center"/>
                </w:tcPr>
                <w:p>
                  <w:pPr>
                    <w:spacing w:line="0" w:lineRule="atLeast"/>
                    <w:jc w:val="center"/>
                    <w:rPr>
                      <w:szCs w:val="21"/>
                    </w:rPr>
                  </w:pPr>
                  <w:r>
                    <w:rPr>
                      <w:szCs w:val="21"/>
                    </w:rPr>
                    <w:t>环境要素</w:t>
                  </w:r>
                </w:p>
              </w:tc>
              <w:tc>
                <w:tcPr>
                  <w:tcW w:w="1284" w:type="dxa"/>
                  <w:vMerge w:val="restart"/>
                  <w:noWrap w:val="0"/>
                  <w:vAlign w:val="center"/>
                </w:tcPr>
                <w:p>
                  <w:pPr>
                    <w:spacing w:line="0" w:lineRule="atLeast"/>
                    <w:jc w:val="center"/>
                    <w:rPr>
                      <w:szCs w:val="21"/>
                    </w:rPr>
                  </w:pPr>
                  <w:r>
                    <w:rPr>
                      <w:szCs w:val="21"/>
                    </w:rPr>
                    <w:t>保护目标</w:t>
                  </w:r>
                </w:p>
              </w:tc>
              <w:tc>
                <w:tcPr>
                  <w:tcW w:w="3118" w:type="dxa"/>
                  <w:gridSpan w:val="2"/>
                  <w:noWrap w:val="0"/>
                  <w:vAlign w:val="center"/>
                </w:tcPr>
                <w:p>
                  <w:pPr>
                    <w:spacing w:line="0" w:lineRule="atLeast"/>
                    <w:jc w:val="center"/>
                    <w:rPr>
                      <w:szCs w:val="21"/>
                    </w:rPr>
                  </w:pPr>
                  <w:r>
                    <w:rPr>
                      <w:szCs w:val="21"/>
                    </w:rPr>
                    <w:t>坐标</w:t>
                  </w:r>
                </w:p>
              </w:tc>
              <w:tc>
                <w:tcPr>
                  <w:tcW w:w="1276" w:type="dxa"/>
                  <w:vMerge w:val="restart"/>
                  <w:noWrap w:val="0"/>
                  <w:vAlign w:val="center"/>
                </w:tcPr>
                <w:p>
                  <w:pPr>
                    <w:spacing w:line="0" w:lineRule="atLeast"/>
                    <w:jc w:val="center"/>
                    <w:rPr>
                      <w:szCs w:val="21"/>
                    </w:rPr>
                  </w:pPr>
                  <w:r>
                    <w:rPr>
                      <w:szCs w:val="21"/>
                    </w:rPr>
                    <w:t>距本项目方位/距离</w:t>
                  </w:r>
                </w:p>
              </w:tc>
              <w:tc>
                <w:tcPr>
                  <w:tcW w:w="1927" w:type="dxa"/>
                  <w:vMerge w:val="restart"/>
                  <w:noWrap w:val="0"/>
                  <w:vAlign w:val="center"/>
                </w:tcPr>
                <w:p>
                  <w:pPr>
                    <w:spacing w:line="0" w:lineRule="atLeast"/>
                    <w:jc w:val="center"/>
                    <w:rPr>
                      <w:szCs w:val="21"/>
                    </w:rPr>
                  </w:pPr>
                  <w:r>
                    <w:rPr>
                      <w:szCs w:val="21"/>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8" w:hRule="atLeast"/>
                <w:jc w:val="center"/>
              </w:trPr>
              <w:tc>
                <w:tcPr>
                  <w:tcW w:w="701" w:type="dxa"/>
                  <w:vMerge w:val="continue"/>
                  <w:noWrap w:val="0"/>
                  <w:vAlign w:val="center"/>
                </w:tcPr>
                <w:p>
                  <w:pPr>
                    <w:spacing w:line="0" w:lineRule="atLeast"/>
                    <w:jc w:val="center"/>
                    <w:rPr>
                      <w:szCs w:val="21"/>
                    </w:rPr>
                  </w:pPr>
                </w:p>
              </w:tc>
              <w:tc>
                <w:tcPr>
                  <w:tcW w:w="1284" w:type="dxa"/>
                  <w:vMerge w:val="continue"/>
                  <w:noWrap w:val="0"/>
                  <w:vAlign w:val="center"/>
                </w:tcPr>
                <w:p>
                  <w:pPr>
                    <w:spacing w:line="0" w:lineRule="atLeast"/>
                    <w:jc w:val="center"/>
                    <w:rPr>
                      <w:szCs w:val="21"/>
                    </w:rPr>
                  </w:pPr>
                </w:p>
              </w:tc>
              <w:tc>
                <w:tcPr>
                  <w:tcW w:w="1559" w:type="dxa"/>
                  <w:noWrap w:val="0"/>
                  <w:vAlign w:val="center"/>
                </w:tcPr>
                <w:p>
                  <w:pPr>
                    <w:spacing w:line="0" w:lineRule="atLeast"/>
                    <w:jc w:val="center"/>
                    <w:rPr>
                      <w:szCs w:val="21"/>
                    </w:rPr>
                  </w:pPr>
                  <w:r>
                    <w:rPr>
                      <w:szCs w:val="21"/>
                    </w:rPr>
                    <w:t>经度</w:t>
                  </w:r>
                </w:p>
              </w:tc>
              <w:tc>
                <w:tcPr>
                  <w:tcW w:w="1559" w:type="dxa"/>
                  <w:noWrap w:val="0"/>
                  <w:vAlign w:val="center"/>
                </w:tcPr>
                <w:p>
                  <w:pPr>
                    <w:spacing w:line="0" w:lineRule="atLeast"/>
                    <w:jc w:val="center"/>
                    <w:rPr>
                      <w:szCs w:val="21"/>
                    </w:rPr>
                  </w:pPr>
                  <w:r>
                    <w:rPr>
                      <w:szCs w:val="21"/>
                    </w:rPr>
                    <w:t>纬度</w:t>
                  </w:r>
                </w:p>
              </w:tc>
              <w:tc>
                <w:tcPr>
                  <w:tcW w:w="1276" w:type="dxa"/>
                  <w:vMerge w:val="continue"/>
                  <w:noWrap w:val="0"/>
                  <w:vAlign w:val="center"/>
                </w:tcPr>
                <w:p>
                  <w:pPr>
                    <w:spacing w:line="0" w:lineRule="atLeast"/>
                    <w:jc w:val="center"/>
                    <w:rPr>
                      <w:szCs w:val="21"/>
                    </w:rPr>
                  </w:pPr>
                </w:p>
              </w:tc>
              <w:tc>
                <w:tcPr>
                  <w:tcW w:w="1927" w:type="dxa"/>
                  <w:vMerge w:val="continue"/>
                  <w:noWrap w:val="0"/>
                  <w:vAlign w:val="center"/>
                </w:tcPr>
                <w:p>
                  <w:pPr>
                    <w:spacing w:line="0" w:lineRule="atLeas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01" w:type="dxa"/>
                  <w:noWrap w:val="0"/>
                  <w:vAlign w:val="center"/>
                </w:tcPr>
                <w:p>
                  <w:pPr>
                    <w:spacing w:line="0" w:lineRule="atLeast"/>
                    <w:jc w:val="center"/>
                    <w:rPr>
                      <w:szCs w:val="21"/>
                    </w:rPr>
                  </w:pPr>
                  <w:r>
                    <w:rPr>
                      <w:szCs w:val="21"/>
                    </w:rPr>
                    <w:t>地下水环境</w:t>
                  </w:r>
                </w:p>
              </w:tc>
              <w:tc>
                <w:tcPr>
                  <w:tcW w:w="1284" w:type="dxa"/>
                  <w:noWrap w:val="0"/>
                  <w:vAlign w:val="center"/>
                </w:tcPr>
                <w:p>
                  <w:pPr>
                    <w:spacing w:line="0" w:lineRule="atLeast"/>
                    <w:jc w:val="center"/>
                    <w:rPr>
                      <w:szCs w:val="21"/>
                    </w:rPr>
                  </w:pPr>
                  <w:r>
                    <w:rPr>
                      <w:szCs w:val="21"/>
                    </w:rPr>
                    <w:t>一亩泉准保护区</w:t>
                  </w:r>
                </w:p>
              </w:tc>
              <w:tc>
                <w:tcPr>
                  <w:tcW w:w="1559" w:type="dxa"/>
                  <w:noWrap w:val="0"/>
                  <w:vAlign w:val="center"/>
                </w:tcPr>
                <w:p>
                  <w:pPr>
                    <w:spacing w:line="0" w:lineRule="atLeast"/>
                    <w:jc w:val="center"/>
                    <w:rPr>
                      <w:snapToGrid w:val="0"/>
                      <w:szCs w:val="21"/>
                    </w:rPr>
                  </w:pPr>
                  <w:r>
                    <w:rPr>
                      <w:snapToGrid w:val="0"/>
                      <w:szCs w:val="21"/>
                    </w:rPr>
                    <w:t>/</w:t>
                  </w:r>
                </w:p>
              </w:tc>
              <w:tc>
                <w:tcPr>
                  <w:tcW w:w="1559" w:type="dxa"/>
                  <w:noWrap w:val="0"/>
                  <w:vAlign w:val="center"/>
                </w:tcPr>
                <w:p>
                  <w:pPr>
                    <w:spacing w:line="0" w:lineRule="atLeast"/>
                    <w:jc w:val="center"/>
                    <w:rPr>
                      <w:snapToGrid w:val="0"/>
                      <w:szCs w:val="21"/>
                    </w:rPr>
                  </w:pPr>
                  <w:r>
                    <w:rPr>
                      <w:snapToGrid w:val="0"/>
                      <w:szCs w:val="21"/>
                    </w:rPr>
                    <w:t>/</w:t>
                  </w:r>
                </w:p>
              </w:tc>
              <w:tc>
                <w:tcPr>
                  <w:tcW w:w="1276" w:type="dxa"/>
                  <w:noWrap w:val="0"/>
                  <w:vAlign w:val="center"/>
                </w:tcPr>
                <w:p>
                  <w:pPr>
                    <w:spacing w:line="0" w:lineRule="atLeast"/>
                    <w:jc w:val="center"/>
                    <w:rPr>
                      <w:szCs w:val="21"/>
                    </w:rPr>
                  </w:pPr>
                  <w:r>
                    <w:rPr>
                      <w:snapToGrid w:val="0"/>
                      <w:szCs w:val="21"/>
                    </w:rPr>
                    <w:t>/</w:t>
                  </w:r>
                </w:p>
              </w:tc>
              <w:tc>
                <w:tcPr>
                  <w:tcW w:w="1927" w:type="dxa"/>
                  <w:noWrap w:val="0"/>
                  <w:vAlign w:val="center"/>
                </w:tcPr>
                <w:p>
                  <w:pPr>
                    <w:spacing w:line="0" w:lineRule="atLeast"/>
                    <w:jc w:val="center"/>
                    <w:rPr>
                      <w:szCs w:val="21"/>
                    </w:rPr>
                  </w:pPr>
                  <w:r>
                    <w:rPr>
                      <w:szCs w:val="21"/>
                    </w:rPr>
                    <w:t>《地下水质量标准》</w:t>
                  </w:r>
                </w:p>
                <w:p>
                  <w:pPr>
                    <w:spacing w:line="0" w:lineRule="atLeast"/>
                    <w:jc w:val="center"/>
                    <w:rPr>
                      <w:szCs w:val="21"/>
                    </w:rPr>
                  </w:pPr>
                  <w:r>
                    <w:rPr>
                      <w:szCs w:val="21"/>
                    </w:rPr>
                    <w:t>(GB/T14848-93)Ⅲ类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01" w:type="dxa"/>
                  <w:vMerge w:val="restart"/>
                  <w:noWrap w:val="0"/>
                  <w:vAlign w:val="center"/>
                </w:tcPr>
                <w:p>
                  <w:pPr>
                    <w:spacing w:line="0" w:lineRule="atLeast"/>
                    <w:jc w:val="center"/>
                    <w:rPr>
                      <w:b/>
                      <w:szCs w:val="21"/>
                    </w:rPr>
                  </w:pPr>
                  <w:r>
                    <w:t>电磁环境</w:t>
                  </w:r>
                </w:p>
              </w:tc>
              <w:tc>
                <w:tcPr>
                  <w:tcW w:w="1284" w:type="dxa"/>
                  <w:noWrap w:val="0"/>
                  <w:vAlign w:val="center"/>
                </w:tcPr>
                <w:p>
                  <w:pPr>
                    <w:spacing w:line="0" w:lineRule="atLeast"/>
                    <w:jc w:val="center"/>
                    <w:rPr>
                      <w:szCs w:val="21"/>
                    </w:rPr>
                  </w:pPr>
                  <w:r>
                    <w:rPr>
                      <w:szCs w:val="21"/>
                    </w:rPr>
                    <w:t>贾庄村</w:t>
                  </w:r>
                </w:p>
              </w:tc>
              <w:tc>
                <w:tcPr>
                  <w:tcW w:w="1559" w:type="dxa"/>
                  <w:noWrap w:val="0"/>
                  <w:vAlign w:val="center"/>
                </w:tcPr>
                <w:p>
                  <w:pPr>
                    <w:spacing w:line="0" w:lineRule="atLeast"/>
                    <w:jc w:val="center"/>
                    <w:rPr>
                      <w:snapToGrid w:val="0"/>
                      <w:szCs w:val="21"/>
                    </w:rPr>
                  </w:pPr>
                  <w:r>
                    <w:rPr>
                      <w:snapToGrid w:val="0"/>
                      <w:szCs w:val="21"/>
                    </w:rPr>
                    <w:t>115°22′54.84″</w:t>
                  </w:r>
                </w:p>
              </w:tc>
              <w:tc>
                <w:tcPr>
                  <w:tcW w:w="1559" w:type="dxa"/>
                  <w:noWrap w:val="0"/>
                  <w:vAlign w:val="center"/>
                </w:tcPr>
                <w:p>
                  <w:pPr>
                    <w:spacing w:line="0" w:lineRule="atLeast"/>
                    <w:jc w:val="center"/>
                    <w:rPr>
                      <w:snapToGrid w:val="0"/>
                      <w:szCs w:val="21"/>
                    </w:rPr>
                  </w:pPr>
                  <w:r>
                    <w:rPr>
                      <w:snapToGrid w:val="0"/>
                      <w:szCs w:val="21"/>
                    </w:rPr>
                    <w:t>38°57′31.58″</w:t>
                  </w:r>
                </w:p>
              </w:tc>
              <w:tc>
                <w:tcPr>
                  <w:tcW w:w="1276" w:type="dxa"/>
                  <w:noWrap w:val="0"/>
                  <w:vAlign w:val="center"/>
                </w:tcPr>
                <w:p>
                  <w:pPr>
                    <w:spacing w:line="0" w:lineRule="atLeast"/>
                    <w:jc w:val="center"/>
                    <w:rPr>
                      <w:szCs w:val="21"/>
                    </w:rPr>
                  </w:pPr>
                  <w:r>
                    <w:rPr>
                      <w:snapToGrid w:val="0"/>
                      <w:szCs w:val="21"/>
                    </w:rPr>
                    <w:t>北侧/38m</w:t>
                  </w:r>
                </w:p>
              </w:tc>
              <w:tc>
                <w:tcPr>
                  <w:tcW w:w="1927" w:type="dxa"/>
                  <w:vMerge w:val="restart"/>
                  <w:noWrap w:val="0"/>
                  <w:vAlign w:val="center"/>
                </w:tcPr>
                <w:p>
                  <w:pPr>
                    <w:spacing w:line="0" w:lineRule="atLeast"/>
                    <w:jc w:val="center"/>
                    <w:rPr>
                      <w:snapToGrid w:val="0"/>
                      <w:szCs w:val="21"/>
                    </w:rPr>
                  </w:pPr>
                  <w:r>
                    <w:rPr>
                      <w:snapToGrid w:val="0"/>
                      <w:szCs w:val="21"/>
                    </w:rPr>
                    <w:t>《电磁环境控制限值》</w:t>
                  </w:r>
                </w:p>
                <w:p>
                  <w:pPr>
                    <w:spacing w:line="0" w:lineRule="atLeast"/>
                    <w:jc w:val="center"/>
                    <w:rPr>
                      <w:szCs w:val="21"/>
                    </w:rPr>
                  </w:pPr>
                  <w:r>
                    <w:rPr>
                      <w:snapToGrid w:val="0"/>
                      <w:szCs w:val="21"/>
                    </w:rPr>
                    <w:t>（GB8702-2014）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01" w:type="dxa"/>
                  <w:vMerge w:val="continue"/>
                  <w:noWrap w:val="0"/>
                  <w:vAlign w:val="center"/>
                </w:tcPr>
                <w:p>
                  <w:pPr>
                    <w:spacing w:line="0" w:lineRule="atLeast"/>
                    <w:jc w:val="center"/>
                  </w:pPr>
                </w:p>
              </w:tc>
              <w:tc>
                <w:tcPr>
                  <w:tcW w:w="1284" w:type="dxa"/>
                  <w:noWrap w:val="0"/>
                  <w:vAlign w:val="center"/>
                </w:tcPr>
                <w:p>
                  <w:pPr>
                    <w:spacing w:line="0" w:lineRule="atLeast"/>
                    <w:jc w:val="center"/>
                    <w:rPr>
                      <w:szCs w:val="21"/>
                    </w:rPr>
                  </w:pPr>
                  <w:r>
                    <w:rPr>
                      <w:szCs w:val="21"/>
                    </w:rPr>
                    <w:t>贾庄村</w:t>
                  </w:r>
                </w:p>
              </w:tc>
              <w:tc>
                <w:tcPr>
                  <w:tcW w:w="1559" w:type="dxa"/>
                  <w:noWrap w:val="0"/>
                  <w:vAlign w:val="center"/>
                </w:tcPr>
                <w:p>
                  <w:pPr>
                    <w:spacing w:line="0" w:lineRule="atLeast"/>
                    <w:jc w:val="center"/>
                    <w:rPr>
                      <w:snapToGrid w:val="0"/>
                      <w:szCs w:val="21"/>
                    </w:rPr>
                  </w:pPr>
                  <w:r>
                    <w:rPr>
                      <w:snapToGrid w:val="0"/>
                      <w:szCs w:val="21"/>
                    </w:rPr>
                    <w:t>115°22′55.29″</w:t>
                  </w:r>
                </w:p>
              </w:tc>
              <w:tc>
                <w:tcPr>
                  <w:tcW w:w="1559" w:type="dxa"/>
                  <w:noWrap w:val="0"/>
                  <w:vAlign w:val="center"/>
                </w:tcPr>
                <w:p>
                  <w:pPr>
                    <w:spacing w:line="0" w:lineRule="atLeast"/>
                    <w:jc w:val="center"/>
                    <w:rPr>
                      <w:snapToGrid w:val="0"/>
                      <w:szCs w:val="21"/>
                    </w:rPr>
                  </w:pPr>
                  <w:r>
                    <w:rPr>
                      <w:snapToGrid w:val="0"/>
                      <w:szCs w:val="21"/>
                    </w:rPr>
                    <w:t>38°57′28.93″</w:t>
                  </w:r>
                </w:p>
              </w:tc>
              <w:tc>
                <w:tcPr>
                  <w:tcW w:w="1276" w:type="dxa"/>
                  <w:noWrap w:val="0"/>
                  <w:vAlign w:val="center"/>
                </w:tcPr>
                <w:p>
                  <w:pPr>
                    <w:spacing w:line="0" w:lineRule="atLeast"/>
                    <w:jc w:val="center"/>
                    <w:rPr>
                      <w:szCs w:val="21"/>
                    </w:rPr>
                  </w:pPr>
                  <w:r>
                    <w:rPr>
                      <w:snapToGrid w:val="0"/>
                      <w:szCs w:val="21"/>
                    </w:rPr>
                    <w:t>南侧/35m</w:t>
                  </w:r>
                </w:p>
              </w:tc>
              <w:tc>
                <w:tcPr>
                  <w:tcW w:w="1927" w:type="dxa"/>
                  <w:vMerge w:val="continue"/>
                  <w:noWrap w:val="0"/>
                  <w:vAlign w:val="center"/>
                </w:tcPr>
                <w:p>
                  <w:pPr>
                    <w:spacing w:line="0" w:lineRule="atLeast"/>
                    <w:jc w:val="center"/>
                    <w:rPr>
                      <w:snapToGrid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01" w:type="dxa"/>
                  <w:vMerge w:val="continue"/>
                  <w:noWrap w:val="0"/>
                  <w:vAlign w:val="center"/>
                </w:tcPr>
                <w:p>
                  <w:pPr>
                    <w:spacing w:line="0" w:lineRule="atLeast"/>
                    <w:jc w:val="center"/>
                  </w:pPr>
                </w:p>
              </w:tc>
              <w:tc>
                <w:tcPr>
                  <w:tcW w:w="1284" w:type="dxa"/>
                  <w:noWrap w:val="0"/>
                  <w:vAlign w:val="center"/>
                </w:tcPr>
                <w:p>
                  <w:pPr>
                    <w:spacing w:line="0" w:lineRule="atLeast"/>
                    <w:jc w:val="center"/>
                    <w:rPr>
                      <w:szCs w:val="21"/>
                    </w:rPr>
                  </w:pPr>
                  <w:r>
                    <w:rPr>
                      <w:szCs w:val="21"/>
                    </w:rPr>
                    <w:t>规划学校</w:t>
                  </w:r>
                </w:p>
              </w:tc>
              <w:tc>
                <w:tcPr>
                  <w:tcW w:w="1559" w:type="dxa"/>
                  <w:noWrap w:val="0"/>
                  <w:vAlign w:val="center"/>
                </w:tcPr>
                <w:p>
                  <w:pPr>
                    <w:spacing w:line="0" w:lineRule="atLeast"/>
                    <w:jc w:val="center"/>
                    <w:rPr>
                      <w:snapToGrid w:val="0"/>
                      <w:szCs w:val="21"/>
                    </w:rPr>
                  </w:pPr>
                  <w:r>
                    <w:rPr>
                      <w:snapToGrid w:val="0"/>
                      <w:szCs w:val="21"/>
                    </w:rPr>
                    <w:t>115°23′34.18″</w:t>
                  </w:r>
                </w:p>
              </w:tc>
              <w:tc>
                <w:tcPr>
                  <w:tcW w:w="1559" w:type="dxa"/>
                  <w:noWrap w:val="0"/>
                  <w:vAlign w:val="center"/>
                </w:tcPr>
                <w:p>
                  <w:pPr>
                    <w:spacing w:line="0" w:lineRule="atLeast"/>
                    <w:jc w:val="center"/>
                    <w:rPr>
                      <w:snapToGrid w:val="0"/>
                      <w:szCs w:val="21"/>
                    </w:rPr>
                  </w:pPr>
                  <w:r>
                    <w:rPr>
                      <w:snapToGrid w:val="0"/>
                      <w:szCs w:val="21"/>
                    </w:rPr>
                    <w:t>38°57′35.67″</w:t>
                  </w:r>
                </w:p>
              </w:tc>
              <w:tc>
                <w:tcPr>
                  <w:tcW w:w="1276" w:type="dxa"/>
                  <w:noWrap w:val="0"/>
                  <w:vAlign w:val="center"/>
                </w:tcPr>
                <w:p>
                  <w:pPr>
                    <w:spacing w:line="0" w:lineRule="atLeast"/>
                    <w:jc w:val="center"/>
                    <w:rPr>
                      <w:snapToGrid w:val="0"/>
                      <w:szCs w:val="21"/>
                    </w:rPr>
                  </w:pPr>
                  <w:r>
                    <w:rPr>
                      <w:snapToGrid w:val="0"/>
                      <w:szCs w:val="21"/>
                    </w:rPr>
                    <w:t>南侧/40m</w:t>
                  </w:r>
                </w:p>
              </w:tc>
              <w:tc>
                <w:tcPr>
                  <w:tcW w:w="1927" w:type="dxa"/>
                  <w:vMerge w:val="continue"/>
                  <w:noWrap w:val="0"/>
                  <w:vAlign w:val="center"/>
                </w:tcPr>
                <w:p>
                  <w:pPr>
                    <w:spacing w:line="0" w:lineRule="atLeast"/>
                    <w:jc w:val="center"/>
                    <w:rPr>
                      <w:snapToGrid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01" w:type="dxa"/>
                  <w:vMerge w:val="continue"/>
                  <w:noWrap w:val="0"/>
                  <w:vAlign w:val="center"/>
                </w:tcPr>
                <w:p>
                  <w:pPr>
                    <w:spacing w:line="0" w:lineRule="atLeast"/>
                    <w:jc w:val="center"/>
                  </w:pPr>
                </w:p>
              </w:tc>
              <w:tc>
                <w:tcPr>
                  <w:tcW w:w="1284" w:type="dxa"/>
                  <w:noWrap w:val="0"/>
                  <w:vAlign w:val="center"/>
                </w:tcPr>
                <w:p>
                  <w:pPr>
                    <w:spacing w:line="0" w:lineRule="atLeast"/>
                    <w:jc w:val="center"/>
                    <w:rPr>
                      <w:szCs w:val="21"/>
                    </w:rPr>
                  </w:pPr>
                  <w:r>
                    <w:rPr>
                      <w:szCs w:val="21"/>
                    </w:rPr>
                    <w:t>规划居住区</w:t>
                  </w:r>
                </w:p>
              </w:tc>
              <w:tc>
                <w:tcPr>
                  <w:tcW w:w="1559" w:type="dxa"/>
                  <w:noWrap w:val="0"/>
                  <w:vAlign w:val="center"/>
                </w:tcPr>
                <w:p>
                  <w:pPr>
                    <w:spacing w:line="0" w:lineRule="atLeast"/>
                    <w:jc w:val="center"/>
                    <w:rPr>
                      <w:snapToGrid w:val="0"/>
                      <w:szCs w:val="21"/>
                    </w:rPr>
                  </w:pPr>
                  <w:r>
                    <w:rPr>
                      <w:snapToGrid w:val="0"/>
                      <w:szCs w:val="21"/>
                    </w:rPr>
                    <w:t>115°23′40.11″</w:t>
                  </w:r>
                </w:p>
              </w:tc>
              <w:tc>
                <w:tcPr>
                  <w:tcW w:w="1559" w:type="dxa"/>
                  <w:noWrap w:val="0"/>
                  <w:vAlign w:val="center"/>
                </w:tcPr>
                <w:p>
                  <w:pPr>
                    <w:spacing w:line="0" w:lineRule="atLeast"/>
                    <w:jc w:val="center"/>
                    <w:rPr>
                      <w:snapToGrid w:val="0"/>
                      <w:szCs w:val="21"/>
                    </w:rPr>
                  </w:pPr>
                  <w:r>
                    <w:rPr>
                      <w:snapToGrid w:val="0"/>
                      <w:szCs w:val="21"/>
                    </w:rPr>
                    <w:t>38°57′41.18″</w:t>
                  </w:r>
                </w:p>
              </w:tc>
              <w:tc>
                <w:tcPr>
                  <w:tcW w:w="1276" w:type="dxa"/>
                  <w:noWrap w:val="0"/>
                  <w:vAlign w:val="center"/>
                </w:tcPr>
                <w:p>
                  <w:pPr>
                    <w:spacing w:line="0" w:lineRule="atLeast"/>
                    <w:jc w:val="center"/>
                    <w:rPr>
                      <w:snapToGrid w:val="0"/>
                      <w:szCs w:val="21"/>
                    </w:rPr>
                  </w:pPr>
                  <w:r>
                    <w:rPr>
                      <w:snapToGrid w:val="0"/>
                      <w:szCs w:val="21"/>
                    </w:rPr>
                    <w:t>南侧/40m</w:t>
                  </w:r>
                </w:p>
              </w:tc>
              <w:tc>
                <w:tcPr>
                  <w:tcW w:w="1927" w:type="dxa"/>
                  <w:vMerge w:val="continue"/>
                  <w:noWrap w:val="0"/>
                  <w:vAlign w:val="center"/>
                </w:tcPr>
                <w:p>
                  <w:pPr>
                    <w:spacing w:line="0" w:lineRule="atLeast"/>
                    <w:jc w:val="center"/>
                    <w:rPr>
                      <w:snapToGrid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01" w:type="dxa"/>
                  <w:vMerge w:val="restart"/>
                  <w:noWrap w:val="0"/>
                  <w:vAlign w:val="center"/>
                </w:tcPr>
                <w:p>
                  <w:pPr>
                    <w:spacing w:line="0" w:lineRule="atLeast"/>
                    <w:jc w:val="center"/>
                  </w:pPr>
                  <w:r>
                    <w:t>声环境</w:t>
                  </w:r>
                </w:p>
              </w:tc>
              <w:tc>
                <w:tcPr>
                  <w:tcW w:w="1284" w:type="dxa"/>
                  <w:noWrap w:val="0"/>
                  <w:vAlign w:val="center"/>
                </w:tcPr>
                <w:p>
                  <w:pPr>
                    <w:spacing w:line="0" w:lineRule="atLeast"/>
                    <w:jc w:val="center"/>
                    <w:rPr>
                      <w:szCs w:val="21"/>
                    </w:rPr>
                  </w:pPr>
                  <w:r>
                    <w:rPr>
                      <w:szCs w:val="21"/>
                    </w:rPr>
                    <w:t>贾庄村</w:t>
                  </w:r>
                </w:p>
              </w:tc>
              <w:tc>
                <w:tcPr>
                  <w:tcW w:w="1559" w:type="dxa"/>
                  <w:noWrap w:val="0"/>
                  <w:vAlign w:val="center"/>
                </w:tcPr>
                <w:p>
                  <w:pPr>
                    <w:spacing w:line="0" w:lineRule="atLeast"/>
                    <w:jc w:val="center"/>
                    <w:rPr>
                      <w:snapToGrid w:val="0"/>
                      <w:szCs w:val="21"/>
                    </w:rPr>
                  </w:pPr>
                  <w:r>
                    <w:rPr>
                      <w:snapToGrid w:val="0"/>
                      <w:szCs w:val="21"/>
                    </w:rPr>
                    <w:t>115°22′54.84″</w:t>
                  </w:r>
                </w:p>
              </w:tc>
              <w:tc>
                <w:tcPr>
                  <w:tcW w:w="1559" w:type="dxa"/>
                  <w:noWrap w:val="0"/>
                  <w:vAlign w:val="center"/>
                </w:tcPr>
                <w:p>
                  <w:pPr>
                    <w:spacing w:line="0" w:lineRule="atLeast"/>
                    <w:jc w:val="center"/>
                    <w:rPr>
                      <w:snapToGrid w:val="0"/>
                      <w:szCs w:val="21"/>
                    </w:rPr>
                  </w:pPr>
                  <w:r>
                    <w:rPr>
                      <w:snapToGrid w:val="0"/>
                      <w:szCs w:val="21"/>
                    </w:rPr>
                    <w:t>38°57′31.58″</w:t>
                  </w:r>
                </w:p>
              </w:tc>
              <w:tc>
                <w:tcPr>
                  <w:tcW w:w="1276" w:type="dxa"/>
                  <w:noWrap w:val="0"/>
                  <w:vAlign w:val="center"/>
                </w:tcPr>
                <w:p>
                  <w:pPr>
                    <w:spacing w:line="0" w:lineRule="atLeast"/>
                    <w:jc w:val="center"/>
                    <w:rPr>
                      <w:szCs w:val="21"/>
                    </w:rPr>
                  </w:pPr>
                  <w:r>
                    <w:rPr>
                      <w:snapToGrid w:val="0"/>
                      <w:szCs w:val="21"/>
                    </w:rPr>
                    <w:t>北侧/38m</w:t>
                  </w:r>
                </w:p>
              </w:tc>
              <w:tc>
                <w:tcPr>
                  <w:tcW w:w="1927" w:type="dxa"/>
                  <w:vMerge w:val="restart"/>
                  <w:noWrap w:val="0"/>
                  <w:vAlign w:val="center"/>
                </w:tcPr>
                <w:p>
                  <w:pPr>
                    <w:spacing w:line="0" w:lineRule="atLeast"/>
                    <w:jc w:val="center"/>
                    <w:rPr>
                      <w:snapToGrid w:val="0"/>
                      <w:szCs w:val="21"/>
                    </w:rPr>
                  </w:pPr>
                  <w:r>
                    <w:rPr>
                      <w:snapToGrid w:val="0"/>
                      <w:szCs w:val="21"/>
                    </w:rPr>
                    <w:t>《声环境噪质量标准》</w:t>
                  </w:r>
                </w:p>
                <w:p>
                  <w:pPr>
                    <w:spacing w:line="0" w:lineRule="atLeast"/>
                    <w:jc w:val="center"/>
                    <w:rPr>
                      <w:snapToGrid w:val="0"/>
                      <w:szCs w:val="21"/>
                    </w:rPr>
                  </w:pPr>
                  <w:r>
                    <w:rPr>
                      <w:snapToGrid w:val="0"/>
                      <w:szCs w:val="21"/>
                    </w:rPr>
                    <w:t>（GB3096-2008）1类标准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01" w:type="dxa"/>
                  <w:vMerge w:val="continue"/>
                  <w:noWrap w:val="0"/>
                  <w:vAlign w:val="center"/>
                </w:tcPr>
                <w:p>
                  <w:pPr>
                    <w:spacing w:line="0" w:lineRule="atLeast"/>
                    <w:jc w:val="center"/>
                  </w:pPr>
                </w:p>
              </w:tc>
              <w:tc>
                <w:tcPr>
                  <w:tcW w:w="1284" w:type="dxa"/>
                  <w:noWrap w:val="0"/>
                  <w:vAlign w:val="center"/>
                </w:tcPr>
                <w:p>
                  <w:pPr>
                    <w:spacing w:line="0" w:lineRule="atLeast"/>
                    <w:jc w:val="center"/>
                    <w:rPr>
                      <w:szCs w:val="21"/>
                    </w:rPr>
                  </w:pPr>
                  <w:r>
                    <w:rPr>
                      <w:szCs w:val="21"/>
                    </w:rPr>
                    <w:t>贾庄村</w:t>
                  </w:r>
                </w:p>
              </w:tc>
              <w:tc>
                <w:tcPr>
                  <w:tcW w:w="1559" w:type="dxa"/>
                  <w:noWrap w:val="0"/>
                  <w:vAlign w:val="center"/>
                </w:tcPr>
                <w:p>
                  <w:pPr>
                    <w:spacing w:line="0" w:lineRule="atLeast"/>
                    <w:jc w:val="center"/>
                    <w:rPr>
                      <w:snapToGrid w:val="0"/>
                      <w:szCs w:val="21"/>
                    </w:rPr>
                  </w:pPr>
                  <w:r>
                    <w:rPr>
                      <w:snapToGrid w:val="0"/>
                      <w:szCs w:val="21"/>
                    </w:rPr>
                    <w:t>115°22′55.29″</w:t>
                  </w:r>
                </w:p>
              </w:tc>
              <w:tc>
                <w:tcPr>
                  <w:tcW w:w="1559" w:type="dxa"/>
                  <w:noWrap w:val="0"/>
                  <w:vAlign w:val="center"/>
                </w:tcPr>
                <w:p>
                  <w:pPr>
                    <w:spacing w:line="0" w:lineRule="atLeast"/>
                    <w:jc w:val="center"/>
                    <w:rPr>
                      <w:snapToGrid w:val="0"/>
                      <w:szCs w:val="21"/>
                    </w:rPr>
                  </w:pPr>
                  <w:r>
                    <w:rPr>
                      <w:snapToGrid w:val="0"/>
                      <w:szCs w:val="21"/>
                    </w:rPr>
                    <w:t>38°57′28.93″</w:t>
                  </w:r>
                </w:p>
              </w:tc>
              <w:tc>
                <w:tcPr>
                  <w:tcW w:w="1276" w:type="dxa"/>
                  <w:noWrap w:val="0"/>
                  <w:vAlign w:val="center"/>
                </w:tcPr>
                <w:p>
                  <w:pPr>
                    <w:spacing w:line="0" w:lineRule="atLeast"/>
                    <w:jc w:val="center"/>
                    <w:rPr>
                      <w:szCs w:val="21"/>
                    </w:rPr>
                  </w:pPr>
                  <w:r>
                    <w:rPr>
                      <w:snapToGrid w:val="0"/>
                      <w:szCs w:val="21"/>
                    </w:rPr>
                    <w:t>南侧/35m</w:t>
                  </w:r>
                </w:p>
              </w:tc>
              <w:tc>
                <w:tcPr>
                  <w:tcW w:w="1927" w:type="dxa"/>
                  <w:vMerge w:val="continue"/>
                  <w:noWrap w:val="0"/>
                  <w:vAlign w:val="center"/>
                </w:tcPr>
                <w:p>
                  <w:pPr>
                    <w:spacing w:line="0" w:lineRule="atLeast"/>
                    <w:jc w:val="center"/>
                    <w:rPr>
                      <w:snapToGrid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01" w:type="dxa"/>
                  <w:vMerge w:val="continue"/>
                  <w:noWrap w:val="0"/>
                  <w:vAlign w:val="center"/>
                </w:tcPr>
                <w:p>
                  <w:pPr>
                    <w:spacing w:line="0" w:lineRule="atLeast"/>
                    <w:jc w:val="center"/>
                  </w:pPr>
                </w:p>
              </w:tc>
              <w:tc>
                <w:tcPr>
                  <w:tcW w:w="1284" w:type="dxa"/>
                  <w:noWrap w:val="0"/>
                  <w:vAlign w:val="center"/>
                </w:tcPr>
                <w:p>
                  <w:pPr>
                    <w:spacing w:line="0" w:lineRule="atLeast"/>
                    <w:jc w:val="center"/>
                    <w:rPr>
                      <w:szCs w:val="21"/>
                    </w:rPr>
                  </w:pPr>
                  <w:r>
                    <w:rPr>
                      <w:szCs w:val="21"/>
                    </w:rPr>
                    <w:t>规划学校</w:t>
                  </w:r>
                </w:p>
              </w:tc>
              <w:tc>
                <w:tcPr>
                  <w:tcW w:w="1559" w:type="dxa"/>
                  <w:noWrap w:val="0"/>
                  <w:vAlign w:val="center"/>
                </w:tcPr>
                <w:p>
                  <w:pPr>
                    <w:spacing w:line="0" w:lineRule="atLeast"/>
                    <w:jc w:val="center"/>
                    <w:rPr>
                      <w:snapToGrid w:val="0"/>
                      <w:szCs w:val="21"/>
                    </w:rPr>
                  </w:pPr>
                  <w:r>
                    <w:rPr>
                      <w:snapToGrid w:val="0"/>
                      <w:szCs w:val="21"/>
                    </w:rPr>
                    <w:t>115°23′34.18″</w:t>
                  </w:r>
                </w:p>
              </w:tc>
              <w:tc>
                <w:tcPr>
                  <w:tcW w:w="1559" w:type="dxa"/>
                  <w:noWrap w:val="0"/>
                  <w:vAlign w:val="center"/>
                </w:tcPr>
                <w:p>
                  <w:pPr>
                    <w:spacing w:line="0" w:lineRule="atLeast"/>
                    <w:jc w:val="center"/>
                    <w:rPr>
                      <w:snapToGrid w:val="0"/>
                      <w:szCs w:val="21"/>
                    </w:rPr>
                  </w:pPr>
                  <w:r>
                    <w:rPr>
                      <w:snapToGrid w:val="0"/>
                      <w:szCs w:val="21"/>
                    </w:rPr>
                    <w:t>38°57′35.67″</w:t>
                  </w:r>
                </w:p>
              </w:tc>
              <w:tc>
                <w:tcPr>
                  <w:tcW w:w="1276" w:type="dxa"/>
                  <w:noWrap w:val="0"/>
                  <w:vAlign w:val="center"/>
                </w:tcPr>
                <w:p>
                  <w:pPr>
                    <w:spacing w:line="0" w:lineRule="atLeast"/>
                    <w:jc w:val="center"/>
                    <w:rPr>
                      <w:snapToGrid w:val="0"/>
                      <w:szCs w:val="21"/>
                    </w:rPr>
                  </w:pPr>
                  <w:r>
                    <w:rPr>
                      <w:snapToGrid w:val="0"/>
                      <w:szCs w:val="21"/>
                    </w:rPr>
                    <w:t>南侧/40m</w:t>
                  </w:r>
                </w:p>
              </w:tc>
              <w:tc>
                <w:tcPr>
                  <w:tcW w:w="1927" w:type="dxa"/>
                  <w:vMerge w:val="continue"/>
                  <w:noWrap w:val="0"/>
                  <w:vAlign w:val="center"/>
                </w:tcPr>
                <w:p>
                  <w:pPr>
                    <w:spacing w:line="0" w:lineRule="atLeast"/>
                    <w:jc w:val="center"/>
                    <w:rPr>
                      <w:snapToGrid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01" w:type="dxa"/>
                  <w:vMerge w:val="continue"/>
                  <w:noWrap w:val="0"/>
                  <w:vAlign w:val="center"/>
                </w:tcPr>
                <w:p>
                  <w:pPr>
                    <w:spacing w:line="0" w:lineRule="atLeast"/>
                    <w:jc w:val="center"/>
                  </w:pPr>
                </w:p>
              </w:tc>
              <w:tc>
                <w:tcPr>
                  <w:tcW w:w="1284" w:type="dxa"/>
                  <w:noWrap w:val="0"/>
                  <w:vAlign w:val="center"/>
                </w:tcPr>
                <w:p>
                  <w:pPr>
                    <w:spacing w:line="0" w:lineRule="atLeast"/>
                    <w:jc w:val="center"/>
                    <w:rPr>
                      <w:szCs w:val="21"/>
                    </w:rPr>
                  </w:pPr>
                  <w:r>
                    <w:rPr>
                      <w:szCs w:val="21"/>
                    </w:rPr>
                    <w:t>规划居住区</w:t>
                  </w:r>
                </w:p>
              </w:tc>
              <w:tc>
                <w:tcPr>
                  <w:tcW w:w="1559" w:type="dxa"/>
                  <w:noWrap w:val="0"/>
                  <w:vAlign w:val="center"/>
                </w:tcPr>
                <w:p>
                  <w:pPr>
                    <w:spacing w:line="0" w:lineRule="atLeast"/>
                    <w:jc w:val="center"/>
                    <w:rPr>
                      <w:snapToGrid w:val="0"/>
                      <w:szCs w:val="21"/>
                    </w:rPr>
                  </w:pPr>
                  <w:r>
                    <w:rPr>
                      <w:snapToGrid w:val="0"/>
                      <w:szCs w:val="21"/>
                    </w:rPr>
                    <w:t>115°23′40.11″</w:t>
                  </w:r>
                </w:p>
              </w:tc>
              <w:tc>
                <w:tcPr>
                  <w:tcW w:w="1559" w:type="dxa"/>
                  <w:noWrap w:val="0"/>
                  <w:vAlign w:val="center"/>
                </w:tcPr>
                <w:p>
                  <w:pPr>
                    <w:spacing w:line="0" w:lineRule="atLeast"/>
                    <w:jc w:val="center"/>
                    <w:rPr>
                      <w:snapToGrid w:val="0"/>
                      <w:szCs w:val="21"/>
                    </w:rPr>
                  </w:pPr>
                  <w:r>
                    <w:rPr>
                      <w:snapToGrid w:val="0"/>
                      <w:szCs w:val="21"/>
                    </w:rPr>
                    <w:t>38°57′41.18″</w:t>
                  </w:r>
                </w:p>
              </w:tc>
              <w:tc>
                <w:tcPr>
                  <w:tcW w:w="1276" w:type="dxa"/>
                  <w:noWrap w:val="0"/>
                  <w:vAlign w:val="center"/>
                </w:tcPr>
                <w:p>
                  <w:pPr>
                    <w:spacing w:line="0" w:lineRule="atLeast"/>
                    <w:jc w:val="center"/>
                    <w:rPr>
                      <w:snapToGrid w:val="0"/>
                      <w:szCs w:val="21"/>
                    </w:rPr>
                  </w:pPr>
                  <w:r>
                    <w:rPr>
                      <w:snapToGrid w:val="0"/>
                      <w:szCs w:val="21"/>
                    </w:rPr>
                    <w:t>南侧/40m</w:t>
                  </w:r>
                </w:p>
              </w:tc>
              <w:tc>
                <w:tcPr>
                  <w:tcW w:w="1927" w:type="dxa"/>
                  <w:vMerge w:val="continue"/>
                  <w:noWrap w:val="0"/>
                  <w:vAlign w:val="center"/>
                </w:tcPr>
                <w:p>
                  <w:pPr>
                    <w:spacing w:line="0" w:lineRule="atLeast"/>
                    <w:jc w:val="center"/>
                    <w:rPr>
                      <w:snapToGrid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01" w:type="dxa"/>
                  <w:noWrap w:val="0"/>
                  <w:vAlign w:val="center"/>
                </w:tcPr>
                <w:p>
                  <w:pPr>
                    <w:spacing w:line="0" w:lineRule="atLeast"/>
                    <w:jc w:val="center"/>
                  </w:pPr>
                  <w:r>
                    <w:t>生态环境</w:t>
                  </w:r>
                </w:p>
              </w:tc>
              <w:tc>
                <w:tcPr>
                  <w:tcW w:w="1284" w:type="dxa"/>
                  <w:noWrap w:val="0"/>
                  <w:vAlign w:val="center"/>
                </w:tcPr>
                <w:p>
                  <w:pPr>
                    <w:spacing w:line="0" w:lineRule="atLeast"/>
                    <w:jc w:val="center"/>
                    <w:rPr>
                      <w:szCs w:val="21"/>
                    </w:rPr>
                  </w:pPr>
                  <w:r>
                    <w:rPr>
                      <w:szCs w:val="21"/>
                    </w:rPr>
                    <w:t>植被、土壤、动植物类型、景观变化</w:t>
                  </w:r>
                </w:p>
              </w:tc>
              <w:tc>
                <w:tcPr>
                  <w:tcW w:w="1559" w:type="dxa"/>
                  <w:noWrap w:val="0"/>
                  <w:vAlign w:val="center"/>
                </w:tcPr>
                <w:p>
                  <w:pPr>
                    <w:spacing w:line="0" w:lineRule="atLeast"/>
                    <w:jc w:val="center"/>
                    <w:rPr>
                      <w:snapToGrid w:val="0"/>
                      <w:szCs w:val="21"/>
                    </w:rPr>
                  </w:pPr>
                  <w:r>
                    <w:rPr>
                      <w:snapToGrid w:val="0"/>
                      <w:szCs w:val="21"/>
                    </w:rPr>
                    <w:t>/</w:t>
                  </w:r>
                </w:p>
              </w:tc>
              <w:tc>
                <w:tcPr>
                  <w:tcW w:w="1559" w:type="dxa"/>
                  <w:noWrap w:val="0"/>
                  <w:vAlign w:val="center"/>
                </w:tcPr>
                <w:p>
                  <w:pPr>
                    <w:spacing w:line="0" w:lineRule="atLeast"/>
                    <w:jc w:val="center"/>
                    <w:rPr>
                      <w:snapToGrid w:val="0"/>
                      <w:szCs w:val="21"/>
                    </w:rPr>
                  </w:pPr>
                  <w:r>
                    <w:rPr>
                      <w:snapToGrid w:val="0"/>
                      <w:szCs w:val="21"/>
                    </w:rPr>
                    <w:t>/</w:t>
                  </w:r>
                </w:p>
              </w:tc>
              <w:tc>
                <w:tcPr>
                  <w:tcW w:w="1276" w:type="dxa"/>
                  <w:noWrap w:val="0"/>
                  <w:vAlign w:val="center"/>
                </w:tcPr>
                <w:p>
                  <w:pPr>
                    <w:spacing w:line="0" w:lineRule="atLeast"/>
                    <w:jc w:val="center"/>
                    <w:rPr>
                      <w:szCs w:val="21"/>
                    </w:rPr>
                  </w:pPr>
                  <w:r>
                    <w:rPr>
                      <w:snapToGrid w:val="0"/>
                      <w:szCs w:val="21"/>
                    </w:rPr>
                    <w:t>/</w:t>
                  </w:r>
                </w:p>
              </w:tc>
              <w:tc>
                <w:tcPr>
                  <w:tcW w:w="1927" w:type="dxa"/>
                  <w:noWrap w:val="0"/>
                  <w:vAlign w:val="center"/>
                </w:tcPr>
                <w:p>
                  <w:pPr>
                    <w:spacing w:line="0" w:lineRule="atLeast"/>
                    <w:jc w:val="center"/>
                    <w:rPr>
                      <w:szCs w:val="21"/>
                    </w:rPr>
                  </w:pPr>
                  <w:r>
                    <w:rPr>
                      <w:szCs w:val="21"/>
                    </w:rPr>
                    <w:t>区域生态环境功能不降低</w:t>
                  </w:r>
                </w:p>
              </w:tc>
            </w:tr>
          </w:tbl>
          <w:p>
            <w:pPr>
              <w:snapToGrid w:val="0"/>
              <w:spacing w:line="360" w:lineRule="auto"/>
              <w:rPr>
                <w:rFonts w:eastAsia="楷体_GB2312"/>
                <w:sz w:val="24"/>
              </w:rPr>
            </w:pPr>
          </w:p>
          <w:p>
            <w:pPr>
              <w:snapToGrid w:val="0"/>
              <w:spacing w:line="360" w:lineRule="auto"/>
              <w:rPr>
                <w:rFonts w:eastAsia="楷体_GB2312"/>
                <w:sz w:val="24"/>
              </w:rPr>
            </w:pPr>
          </w:p>
          <w:p>
            <w:pPr>
              <w:snapToGrid w:val="0"/>
              <w:spacing w:line="360" w:lineRule="auto"/>
              <w:rPr>
                <w:rFonts w:eastAsia="楷体_GB2312"/>
                <w:sz w:val="24"/>
              </w:rPr>
            </w:pPr>
          </w:p>
          <w:p>
            <w:pPr>
              <w:snapToGrid w:val="0"/>
              <w:spacing w:line="360" w:lineRule="auto"/>
              <w:rPr>
                <w:rFonts w:eastAsia="楷体_GB2312"/>
                <w:sz w:val="24"/>
              </w:rPr>
            </w:pPr>
          </w:p>
          <w:p>
            <w:pPr>
              <w:snapToGrid w:val="0"/>
              <w:spacing w:line="360" w:lineRule="auto"/>
              <w:rPr>
                <w:rFonts w:eastAsia="楷体_GB2312"/>
                <w:sz w:val="24"/>
              </w:rPr>
            </w:pPr>
          </w:p>
          <w:p>
            <w:pPr>
              <w:snapToGrid w:val="0"/>
              <w:spacing w:line="360" w:lineRule="auto"/>
              <w:rPr>
                <w:rFonts w:eastAsia="楷体_GB2312"/>
                <w:sz w:val="24"/>
              </w:rPr>
            </w:pPr>
          </w:p>
          <w:p>
            <w:pPr>
              <w:snapToGrid w:val="0"/>
              <w:spacing w:line="360" w:lineRule="auto"/>
              <w:rPr>
                <w:rFonts w:eastAsia="楷体_GB2312"/>
                <w:sz w:val="24"/>
              </w:rPr>
            </w:pPr>
          </w:p>
          <w:p>
            <w:pPr>
              <w:snapToGrid w:val="0"/>
              <w:spacing w:line="360" w:lineRule="auto"/>
              <w:rPr>
                <w:rFonts w:hint="eastAsia" w:eastAsia="楷体_GB2312"/>
                <w:sz w:val="24"/>
              </w:rPr>
            </w:pPr>
          </w:p>
          <w:p>
            <w:pPr>
              <w:snapToGrid w:val="0"/>
              <w:spacing w:line="360" w:lineRule="auto"/>
              <w:rPr>
                <w:rFonts w:hint="eastAsia" w:eastAsia="楷体_GB2312"/>
                <w:sz w:val="24"/>
              </w:rPr>
            </w:pPr>
          </w:p>
          <w:p>
            <w:pPr>
              <w:snapToGrid w:val="0"/>
              <w:spacing w:line="360" w:lineRule="auto"/>
              <w:rPr>
                <w:rFonts w:hint="eastAsia" w:eastAsia="楷体_GB2312"/>
                <w:sz w:val="24"/>
              </w:rPr>
            </w:pPr>
          </w:p>
          <w:p>
            <w:pPr>
              <w:snapToGrid w:val="0"/>
              <w:spacing w:line="360" w:lineRule="auto"/>
              <w:rPr>
                <w:rFonts w:hint="eastAsia" w:eastAsia="楷体_GB2312"/>
                <w:sz w:val="24"/>
              </w:rPr>
            </w:pPr>
          </w:p>
          <w:p>
            <w:pPr>
              <w:snapToGrid w:val="0"/>
              <w:spacing w:line="360" w:lineRule="auto"/>
              <w:rPr>
                <w:rFonts w:eastAsia="楷体_GB2312"/>
                <w:sz w:val="24"/>
              </w:rPr>
            </w:pPr>
          </w:p>
        </w:tc>
      </w:tr>
    </w:tbl>
    <w:p>
      <w:pPr>
        <w:pStyle w:val="2"/>
        <w:rPr>
          <w:rFonts w:ascii="Times New Roman"/>
        </w:rPr>
      </w:pPr>
      <w:r>
        <w:rPr>
          <w:rFonts w:ascii="Times New Roman"/>
        </w:rPr>
        <w:t>评价适用标准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391" w:hRule="atLeast"/>
          <w:jc w:val="center"/>
        </w:trPr>
        <w:tc>
          <w:tcPr>
            <w:tcW w:w="496" w:type="dxa"/>
            <w:noWrap w:val="0"/>
            <w:vAlign w:val="center"/>
          </w:tcPr>
          <w:p>
            <w:pPr>
              <w:jc w:val="center"/>
              <w:rPr>
                <w:sz w:val="28"/>
              </w:rPr>
            </w:pPr>
            <w:r>
              <w:rPr>
                <w:sz w:val="28"/>
              </w:rPr>
              <w:t>环境质量标准</w:t>
            </w:r>
          </w:p>
        </w:tc>
        <w:tc>
          <w:tcPr>
            <w:tcW w:w="8292" w:type="dxa"/>
            <w:tcBorders>
              <w:bottom w:val="single" w:color="auto" w:sz="4" w:space="0"/>
            </w:tcBorders>
            <w:noWrap w:val="0"/>
            <w:vAlign w:val="top"/>
          </w:tcPr>
          <w:p>
            <w:pPr>
              <w:spacing w:line="360" w:lineRule="auto"/>
              <w:ind w:firstLine="480" w:firstLineChars="200"/>
              <w:rPr>
                <w:sz w:val="24"/>
              </w:rPr>
            </w:pPr>
            <w:r>
              <w:rPr>
                <w:sz w:val="24"/>
              </w:rPr>
              <w:t>1、空气环境</w:t>
            </w:r>
          </w:p>
          <w:p>
            <w:pPr>
              <w:spacing w:line="360" w:lineRule="auto"/>
              <w:ind w:firstLine="480" w:firstLineChars="200"/>
              <w:rPr>
                <w:sz w:val="24"/>
              </w:rPr>
            </w:pPr>
            <w:r>
              <w:rPr>
                <w:sz w:val="24"/>
              </w:rPr>
              <w:t>执行《环境空气质量标准》（GB3095-2012）中二级标准，标准值见表</w:t>
            </w:r>
            <w:r>
              <w:rPr>
                <w:rFonts w:hint="eastAsia"/>
                <w:sz w:val="24"/>
              </w:rPr>
              <w:t>6</w:t>
            </w:r>
            <w:r>
              <w:rPr>
                <w:sz w:val="24"/>
              </w:rPr>
              <w:t>所示。</w:t>
            </w:r>
          </w:p>
          <w:p>
            <w:pPr>
              <w:spacing w:line="460" w:lineRule="exact"/>
              <w:jc w:val="center"/>
              <w:rPr>
                <w:b/>
                <w:szCs w:val="21"/>
              </w:rPr>
            </w:pPr>
            <w:r>
              <w:rPr>
                <w:b/>
                <w:szCs w:val="21"/>
              </w:rPr>
              <w:t>表</w:t>
            </w:r>
            <w:r>
              <w:rPr>
                <w:rFonts w:hint="eastAsia"/>
                <w:b/>
                <w:szCs w:val="21"/>
              </w:rPr>
              <w:t>6</w:t>
            </w:r>
            <w:r>
              <w:rPr>
                <w:b/>
                <w:szCs w:val="21"/>
              </w:rPr>
              <w:t xml:space="preserve">  环境空气质量标准</w:t>
            </w:r>
          </w:p>
          <w:tbl>
            <w:tblPr>
              <w:tblStyle w:val="4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1496"/>
              <w:gridCol w:w="1795"/>
              <w:gridCol w:w="21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2693" w:type="dxa"/>
                  <w:noWrap w:val="0"/>
                  <w:vAlign w:val="center"/>
                </w:tcPr>
                <w:p>
                  <w:pPr>
                    <w:snapToGrid w:val="0"/>
                    <w:spacing w:line="240" w:lineRule="atLeast"/>
                    <w:jc w:val="center"/>
                  </w:pPr>
                  <w:r>
                    <w:t>标    准</w:t>
                  </w:r>
                </w:p>
              </w:tc>
              <w:tc>
                <w:tcPr>
                  <w:tcW w:w="1496" w:type="dxa"/>
                  <w:noWrap w:val="0"/>
                  <w:vAlign w:val="center"/>
                </w:tcPr>
                <w:p>
                  <w:pPr>
                    <w:snapToGrid w:val="0"/>
                    <w:spacing w:line="240" w:lineRule="atLeast"/>
                    <w:jc w:val="center"/>
                  </w:pPr>
                  <w:r>
                    <w:t>污染物名称</w:t>
                  </w:r>
                </w:p>
              </w:tc>
              <w:tc>
                <w:tcPr>
                  <w:tcW w:w="1795" w:type="dxa"/>
                  <w:noWrap w:val="0"/>
                  <w:vAlign w:val="center"/>
                </w:tcPr>
                <w:p>
                  <w:pPr>
                    <w:snapToGrid w:val="0"/>
                    <w:spacing w:line="240" w:lineRule="atLeast"/>
                    <w:jc w:val="center"/>
                  </w:pPr>
                  <w:r>
                    <w:t>取值时间</w:t>
                  </w:r>
                </w:p>
              </w:tc>
              <w:tc>
                <w:tcPr>
                  <w:tcW w:w="2100" w:type="dxa"/>
                  <w:noWrap w:val="0"/>
                  <w:vAlign w:val="center"/>
                </w:tcPr>
                <w:p>
                  <w:pPr>
                    <w:snapToGrid w:val="0"/>
                    <w:spacing w:line="240" w:lineRule="atLeast"/>
                    <w:jc w:val="center"/>
                  </w:pPr>
                  <w:r>
                    <w:t>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2693" w:type="dxa"/>
                  <w:vMerge w:val="restart"/>
                  <w:noWrap w:val="0"/>
                  <w:vAlign w:val="center"/>
                </w:tcPr>
                <w:p>
                  <w:pPr>
                    <w:snapToGrid w:val="0"/>
                    <w:spacing w:line="240" w:lineRule="atLeast"/>
                    <w:jc w:val="center"/>
                  </w:pPr>
                  <w:r>
                    <w:t>《环境空气质量标准》（GB3095-2012）</w:t>
                  </w:r>
                </w:p>
                <w:p>
                  <w:pPr>
                    <w:snapToGrid w:val="0"/>
                    <w:spacing w:line="240" w:lineRule="atLeast"/>
                    <w:jc w:val="center"/>
                  </w:pPr>
                  <w:r>
                    <w:t>二级标准</w:t>
                  </w:r>
                </w:p>
              </w:tc>
              <w:tc>
                <w:tcPr>
                  <w:tcW w:w="1496" w:type="dxa"/>
                  <w:noWrap w:val="0"/>
                  <w:vAlign w:val="center"/>
                </w:tcPr>
                <w:p>
                  <w:pPr>
                    <w:snapToGrid w:val="0"/>
                    <w:spacing w:line="240" w:lineRule="atLeast"/>
                    <w:jc w:val="center"/>
                  </w:pPr>
                  <w:r>
                    <w:t>SO</w:t>
                  </w:r>
                  <w:r>
                    <w:rPr>
                      <w:vertAlign w:val="subscript"/>
                    </w:rPr>
                    <w:t>2</w:t>
                  </w:r>
                </w:p>
              </w:tc>
              <w:tc>
                <w:tcPr>
                  <w:tcW w:w="1795" w:type="dxa"/>
                  <w:noWrap w:val="0"/>
                  <w:vAlign w:val="center"/>
                </w:tcPr>
                <w:p>
                  <w:pPr>
                    <w:snapToGrid w:val="0"/>
                    <w:spacing w:line="240" w:lineRule="atLeast"/>
                    <w:jc w:val="center"/>
                  </w:pPr>
                  <w:r>
                    <w:t>年平均</w:t>
                  </w:r>
                </w:p>
                <w:p>
                  <w:pPr>
                    <w:snapToGrid w:val="0"/>
                    <w:spacing w:line="240" w:lineRule="atLeast"/>
                    <w:jc w:val="center"/>
                  </w:pPr>
                  <w:r>
                    <w:t>24小时平均</w:t>
                  </w:r>
                </w:p>
                <w:p>
                  <w:pPr>
                    <w:snapToGrid w:val="0"/>
                    <w:spacing w:line="240" w:lineRule="atLeast"/>
                    <w:jc w:val="center"/>
                  </w:pPr>
                  <w:r>
                    <w:t>1小时平均</w:t>
                  </w:r>
                </w:p>
              </w:tc>
              <w:tc>
                <w:tcPr>
                  <w:tcW w:w="2100" w:type="dxa"/>
                  <w:noWrap w:val="0"/>
                  <w:vAlign w:val="center"/>
                </w:tcPr>
                <w:p>
                  <w:pPr>
                    <w:snapToGrid w:val="0"/>
                    <w:spacing w:line="240" w:lineRule="atLeast"/>
                    <w:jc w:val="center"/>
                  </w:pPr>
                  <w:r>
                    <w:t>60μg/m</w:t>
                  </w:r>
                  <w:r>
                    <w:rPr>
                      <w:vertAlign w:val="superscript"/>
                    </w:rPr>
                    <w:t>3</w:t>
                  </w:r>
                </w:p>
                <w:p>
                  <w:pPr>
                    <w:snapToGrid w:val="0"/>
                    <w:spacing w:line="240" w:lineRule="atLeast"/>
                    <w:jc w:val="center"/>
                  </w:pPr>
                  <w:r>
                    <w:t>150μg/m</w:t>
                  </w:r>
                  <w:r>
                    <w:rPr>
                      <w:vertAlign w:val="superscript"/>
                    </w:rPr>
                    <w:t>3</w:t>
                  </w:r>
                </w:p>
                <w:p>
                  <w:pPr>
                    <w:snapToGrid w:val="0"/>
                    <w:spacing w:line="240" w:lineRule="atLeast"/>
                    <w:jc w:val="center"/>
                  </w:pPr>
                  <w:r>
                    <w:t>500μg/m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2693" w:type="dxa"/>
                  <w:vMerge w:val="continue"/>
                  <w:noWrap w:val="0"/>
                  <w:vAlign w:val="center"/>
                </w:tcPr>
                <w:p>
                  <w:pPr>
                    <w:snapToGrid w:val="0"/>
                    <w:spacing w:line="240" w:lineRule="atLeast"/>
                    <w:jc w:val="center"/>
                  </w:pPr>
                </w:p>
              </w:tc>
              <w:tc>
                <w:tcPr>
                  <w:tcW w:w="1496" w:type="dxa"/>
                  <w:noWrap w:val="0"/>
                  <w:vAlign w:val="center"/>
                </w:tcPr>
                <w:p>
                  <w:pPr>
                    <w:snapToGrid w:val="0"/>
                    <w:spacing w:line="240" w:lineRule="atLeast"/>
                    <w:jc w:val="center"/>
                  </w:pPr>
                  <w:r>
                    <w:t>NO</w:t>
                  </w:r>
                  <w:r>
                    <w:rPr>
                      <w:vertAlign w:val="subscript"/>
                    </w:rPr>
                    <w:t>2</w:t>
                  </w:r>
                </w:p>
              </w:tc>
              <w:tc>
                <w:tcPr>
                  <w:tcW w:w="1795" w:type="dxa"/>
                  <w:noWrap w:val="0"/>
                  <w:vAlign w:val="center"/>
                </w:tcPr>
                <w:p>
                  <w:pPr>
                    <w:snapToGrid w:val="0"/>
                    <w:spacing w:line="240" w:lineRule="atLeast"/>
                    <w:jc w:val="center"/>
                  </w:pPr>
                  <w:r>
                    <w:t>年平均</w:t>
                  </w:r>
                </w:p>
                <w:p>
                  <w:pPr>
                    <w:snapToGrid w:val="0"/>
                    <w:spacing w:line="240" w:lineRule="atLeast"/>
                    <w:jc w:val="center"/>
                  </w:pPr>
                  <w:r>
                    <w:t>24小时平均</w:t>
                  </w:r>
                </w:p>
                <w:p>
                  <w:pPr>
                    <w:snapToGrid w:val="0"/>
                    <w:spacing w:line="240" w:lineRule="atLeast"/>
                    <w:jc w:val="center"/>
                  </w:pPr>
                  <w:r>
                    <w:t>1小时平均</w:t>
                  </w:r>
                </w:p>
              </w:tc>
              <w:tc>
                <w:tcPr>
                  <w:tcW w:w="2100" w:type="dxa"/>
                  <w:noWrap w:val="0"/>
                  <w:vAlign w:val="center"/>
                </w:tcPr>
                <w:p>
                  <w:pPr>
                    <w:snapToGrid w:val="0"/>
                    <w:spacing w:line="240" w:lineRule="atLeast"/>
                    <w:jc w:val="center"/>
                  </w:pPr>
                  <w:r>
                    <w:t>40μg/m</w:t>
                  </w:r>
                  <w:r>
                    <w:rPr>
                      <w:vertAlign w:val="superscript"/>
                    </w:rPr>
                    <w:t>3</w:t>
                  </w:r>
                </w:p>
                <w:p>
                  <w:pPr>
                    <w:snapToGrid w:val="0"/>
                    <w:spacing w:line="240" w:lineRule="atLeast"/>
                    <w:jc w:val="center"/>
                  </w:pPr>
                  <w:r>
                    <w:t>80μg/m</w:t>
                  </w:r>
                  <w:r>
                    <w:rPr>
                      <w:vertAlign w:val="superscript"/>
                    </w:rPr>
                    <w:t>3</w:t>
                  </w:r>
                </w:p>
                <w:p>
                  <w:pPr>
                    <w:snapToGrid w:val="0"/>
                    <w:spacing w:line="240" w:lineRule="atLeast"/>
                    <w:jc w:val="center"/>
                  </w:pPr>
                  <w:r>
                    <w:t>200μg/m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2693" w:type="dxa"/>
                  <w:vMerge w:val="continue"/>
                  <w:noWrap w:val="0"/>
                  <w:vAlign w:val="center"/>
                </w:tcPr>
                <w:p>
                  <w:pPr>
                    <w:snapToGrid w:val="0"/>
                    <w:spacing w:line="240" w:lineRule="atLeast"/>
                    <w:jc w:val="center"/>
                  </w:pPr>
                </w:p>
              </w:tc>
              <w:tc>
                <w:tcPr>
                  <w:tcW w:w="1496" w:type="dxa"/>
                  <w:noWrap w:val="0"/>
                  <w:vAlign w:val="center"/>
                </w:tcPr>
                <w:p>
                  <w:pPr>
                    <w:snapToGrid w:val="0"/>
                    <w:spacing w:line="240" w:lineRule="atLeast"/>
                    <w:ind w:firstLine="420" w:firstLineChars="200"/>
                  </w:pPr>
                  <w:r>
                    <w:t>TSP</w:t>
                  </w:r>
                </w:p>
              </w:tc>
              <w:tc>
                <w:tcPr>
                  <w:tcW w:w="1795" w:type="dxa"/>
                  <w:noWrap w:val="0"/>
                  <w:vAlign w:val="center"/>
                </w:tcPr>
                <w:p>
                  <w:pPr>
                    <w:snapToGrid w:val="0"/>
                    <w:spacing w:line="240" w:lineRule="atLeast"/>
                    <w:ind w:firstLine="420" w:firstLineChars="200"/>
                  </w:pPr>
                  <w:r>
                    <w:t>年平均</w:t>
                  </w:r>
                </w:p>
                <w:p>
                  <w:pPr>
                    <w:snapToGrid w:val="0"/>
                    <w:spacing w:line="240" w:lineRule="atLeast"/>
                    <w:jc w:val="center"/>
                  </w:pPr>
                  <w:r>
                    <w:t>24小时平均</w:t>
                  </w:r>
                </w:p>
              </w:tc>
              <w:tc>
                <w:tcPr>
                  <w:tcW w:w="2100" w:type="dxa"/>
                  <w:noWrap w:val="0"/>
                  <w:vAlign w:val="center"/>
                </w:tcPr>
                <w:p>
                  <w:pPr>
                    <w:snapToGrid w:val="0"/>
                    <w:spacing w:line="240" w:lineRule="atLeast"/>
                    <w:jc w:val="center"/>
                  </w:pPr>
                  <w:r>
                    <w:t>200μg/m</w:t>
                  </w:r>
                  <w:r>
                    <w:rPr>
                      <w:vertAlign w:val="superscript"/>
                    </w:rPr>
                    <w:t>3</w:t>
                  </w:r>
                </w:p>
                <w:p>
                  <w:pPr>
                    <w:snapToGrid w:val="0"/>
                    <w:spacing w:line="240" w:lineRule="atLeast"/>
                    <w:jc w:val="center"/>
                  </w:pPr>
                  <w:r>
                    <w:t>300μg/m</w:t>
                  </w:r>
                  <w:r>
                    <w:rPr>
                      <w:vertAlign w:val="superscript"/>
                    </w:rPr>
                    <w:t>3</w:t>
                  </w:r>
                </w:p>
              </w:tc>
            </w:tr>
          </w:tbl>
          <w:p>
            <w:pPr>
              <w:spacing w:line="360" w:lineRule="auto"/>
              <w:ind w:firstLine="480" w:firstLineChars="200"/>
              <w:rPr>
                <w:sz w:val="24"/>
              </w:rPr>
            </w:pPr>
            <w:r>
              <w:rPr>
                <w:sz w:val="24"/>
              </w:rPr>
              <w:t>2、地下水</w:t>
            </w:r>
          </w:p>
          <w:p>
            <w:pPr>
              <w:spacing w:line="360" w:lineRule="auto"/>
              <w:ind w:firstLine="480" w:firstLineChars="200"/>
              <w:rPr>
                <w:sz w:val="24"/>
              </w:rPr>
            </w:pPr>
            <w:r>
              <w:rPr>
                <w:sz w:val="24"/>
              </w:rPr>
              <w:t>执行《地下水质量标准》（GB/T14848－93）Ⅲ类标准要求，标准值见表</w:t>
            </w:r>
            <w:r>
              <w:rPr>
                <w:rFonts w:hint="eastAsia"/>
                <w:sz w:val="24"/>
              </w:rPr>
              <w:t>7</w:t>
            </w:r>
            <w:r>
              <w:rPr>
                <w:sz w:val="24"/>
              </w:rPr>
              <w:t>所示。</w:t>
            </w:r>
          </w:p>
          <w:p>
            <w:pPr>
              <w:tabs>
                <w:tab w:val="left" w:pos="8892"/>
              </w:tabs>
              <w:spacing w:line="460" w:lineRule="exact"/>
              <w:jc w:val="center"/>
              <w:rPr>
                <w:b/>
                <w:bCs/>
                <w:szCs w:val="21"/>
              </w:rPr>
            </w:pPr>
            <w:r>
              <w:rPr>
                <w:b/>
                <w:bCs/>
                <w:szCs w:val="21"/>
              </w:rPr>
              <w:t>表</w:t>
            </w:r>
            <w:r>
              <w:rPr>
                <w:rFonts w:hint="eastAsia"/>
                <w:b/>
                <w:bCs/>
                <w:szCs w:val="21"/>
              </w:rPr>
              <w:t>7</w:t>
            </w:r>
            <w:r>
              <w:rPr>
                <w:b/>
                <w:bCs/>
                <w:szCs w:val="21"/>
              </w:rPr>
              <w:t xml:space="preserve">  地下水质量标准（GB/T14848-93）</w:t>
            </w:r>
            <w:r>
              <w:rPr>
                <w:rFonts w:ascii="宋体"/>
                <w:b/>
                <w:bCs/>
                <w:szCs w:val="21"/>
              </w:rPr>
              <w:t>Ⅲ</w:t>
            </w:r>
            <w:r>
              <w:rPr>
                <w:b/>
                <w:bCs/>
                <w:szCs w:val="21"/>
              </w:rPr>
              <w:t>类）</w:t>
            </w:r>
          </w:p>
          <w:tbl>
            <w:tblPr>
              <w:tblStyle w:val="4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6"/>
              <w:gridCol w:w="993"/>
              <w:gridCol w:w="850"/>
              <w:gridCol w:w="851"/>
              <w:gridCol w:w="850"/>
              <w:gridCol w:w="851"/>
              <w:gridCol w:w="850"/>
              <w:gridCol w:w="993"/>
              <w:gridCol w:w="1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14" w:hRule="atLeast"/>
                <w:jc w:val="center"/>
              </w:trPr>
              <w:tc>
                <w:tcPr>
                  <w:tcW w:w="796" w:type="dxa"/>
                  <w:noWrap w:val="0"/>
                  <w:vAlign w:val="center"/>
                </w:tcPr>
                <w:p>
                  <w:pPr>
                    <w:widowControl/>
                    <w:spacing w:line="0" w:lineRule="atLeast"/>
                    <w:jc w:val="center"/>
                    <w:rPr>
                      <w:kern w:val="0"/>
                      <w:szCs w:val="21"/>
                    </w:rPr>
                  </w:pPr>
                  <w:r>
                    <w:rPr>
                      <w:kern w:val="0"/>
                      <w:szCs w:val="21"/>
                    </w:rPr>
                    <w:t>项目</w:t>
                  </w:r>
                </w:p>
              </w:tc>
              <w:tc>
                <w:tcPr>
                  <w:tcW w:w="993" w:type="dxa"/>
                  <w:noWrap w:val="0"/>
                  <w:vAlign w:val="center"/>
                </w:tcPr>
                <w:p>
                  <w:pPr>
                    <w:widowControl/>
                    <w:spacing w:line="0" w:lineRule="atLeast"/>
                    <w:jc w:val="center"/>
                    <w:rPr>
                      <w:kern w:val="0"/>
                      <w:szCs w:val="21"/>
                    </w:rPr>
                  </w:pPr>
                  <w:r>
                    <w:rPr>
                      <w:kern w:val="0"/>
                      <w:szCs w:val="21"/>
                    </w:rPr>
                    <w:t>色(度)</w:t>
                  </w:r>
                </w:p>
              </w:tc>
              <w:tc>
                <w:tcPr>
                  <w:tcW w:w="850" w:type="dxa"/>
                  <w:noWrap w:val="0"/>
                  <w:vAlign w:val="center"/>
                </w:tcPr>
                <w:p>
                  <w:pPr>
                    <w:widowControl/>
                    <w:spacing w:line="0" w:lineRule="atLeast"/>
                    <w:jc w:val="center"/>
                    <w:rPr>
                      <w:kern w:val="0"/>
                      <w:szCs w:val="21"/>
                    </w:rPr>
                  </w:pPr>
                  <w:r>
                    <w:rPr>
                      <w:kern w:val="0"/>
                      <w:szCs w:val="21"/>
                    </w:rPr>
                    <w:t>混浊度(</w:t>
                  </w:r>
                  <w:r>
                    <w:rPr>
                      <w:bCs/>
                      <w:szCs w:val="21"/>
                    </w:rPr>
                    <w:t>度)</w:t>
                  </w:r>
                </w:p>
              </w:tc>
              <w:tc>
                <w:tcPr>
                  <w:tcW w:w="851" w:type="dxa"/>
                  <w:noWrap w:val="0"/>
                  <w:vAlign w:val="center"/>
                </w:tcPr>
                <w:p>
                  <w:pPr>
                    <w:widowControl/>
                    <w:spacing w:line="0" w:lineRule="atLeast"/>
                    <w:jc w:val="center"/>
                    <w:rPr>
                      <w:kern w:val="0"/>
                      <w:szCs w:val="21"/>
                    </w:rPr>
                  </w:pPr>
                  <w:r>
                    <w:rPr>
                      <w:kern w:val="0"/>
                      <w:szCs w:val="21"/>
                    </w:rPr>
                    <w:t>pH</w:t>
                  </w:r>
                </w:p>
              </w:tc>
              <w:tc>
                <w:tcPr>
                  <w:tcW w:w="850" w:type="dxa"/>
                  <w:noWrap w:val="0"/>
                  <w:vAlign w:val="center"/>
                </w:tcPr>
                <w:p>
                  <w:pPr>
                    <w:widowControl/>
                    <w:spacing w:line="0" w:lineRule="atLeast"/>
                    <w:jc w:val="center"/>
                    <w:rPr>
                      <w:kern w:val="0"/>
                      <w:szCs w:val="21"/>
                    </w:rPr>
                  </w:pPr>
                  <w:r>
                    <w:rPr>
                      <w:kern w:val="0"/>
                      <w:szCs w:val="21"/>
                    </w:rPr>
                    <w:t>总硬度(</w:t>
                  </w:r>
                  <w:r>
                    <w:rPr>
                      <w:bCs/>
                      <w:szCs w:val="21"/>
                    </w:rPr>
                    <w:t>mg/L)</w:t>
                  </w:r>
                </w:p>
              </w:tc>
              <w:tc>
                <w:tcPr>
                  <w:tcW w:w="851" w:type="dxa"/>
                  <w:noWrap w:val="0"/>
                  <w:vAlign w:val="center"/>
                </w:tcPr>
                <w:p>
                  <w:pPr>
                    <w:widowControl/>
                    <w:spacing w:line="0" w:lineRule="atLeast"/>
                    <w:jc w:val="center"/>
                    <w:rPr>
                      <w:kern w:val="0"/>
                      <w:szCs w:val="21"/>
                    </w:rPr>
                  </w:pPr>
                  <w:r>
                    <w:rPr>
                      <w:kern w:val="0"/>
                      <w:szCs w:val="21"/>
                    </w:rPr>
                    <w:t>硝酸</w:t>
                  </w:r>
                </w:p>
                <w:p>
                  <w:pPr>
                    <w:widowControl/>
                    <w:spacing w:line="0" w:lineRule="atLeast"/>
                    <w:jc w:val="center"/>
                    <w:rPr>
                      <w:kern w:val="0"/>
                      <w:szCs w:val="21"/>
                    </w:rPr>
                  </w:pPr>
                  <w:r>
                    <w:rPr>
                      <w:kern w:val="0"/>
                      <w:szCs w:val="21"/>
                    </w:rPr>
                    <w:t>盐氮(</w:t>
                  </w:r>
                  <w:r>
                    <w:rPr>
                      <w:bCs/>
                      <w:szCs w:val="21"/>
                    </w:rPr>
                    <w:t>mg/L)</w:t>
                  </w:r>
                </w:p>
              </w:tc>
              <w:tc>
                <w:tcPr>
                  <w:tcW w:w="850" w:type="dxa"/>
                  <w:noWrap w:val="0"/>
                  <w:vAlign w:val="center"/>
                </w:tcPr>
                <w:p>
                  <w:pPr>
                    <w:widowControl/>
                    <w:spacing w:line="0" w:lineRule="atLeast"/>
                    <w:jc w:val="center"/>
                    <w:rPr>
                      <w:kern w:val="0"/>
                      <w:szCs w:val="21"/>
                    </w:rPr>
                  </w:pPr>
                  <w:r>
                    <w:rPr>
                      <w:kern w:val="0"/>
                      <w:szCs w:val="21"/>
                    </w:rPr>
                    <w:t>阴离子洗涤剂(</w:t>
                  </w:r>
                  <w:r>
                    <w:rPr>
                      <w:bCs/>
                      <w:szCs w:val="21"/>
                    </w:rPr>
                    <w:t>mg/L)</w:t>
                  </w:r>
                </w:p>
              </w:tc>
              <w:tc>
                <w:tcPr>
                  <w:tcW w:w="993" w:type="dxa"/>
                  <w:noWrap w:val="0"/>
                  <w:vAlign w:val="center"/>
                </w:tcPr>
                <w:p>
                  <w:pPr>
                    <w:widowControl/>
                    <w:spacing w:line="0" w:lineRule="atLeast"/>
                    <w:jc w:val="center"/>
                    <w:rPr>
                      <w:kern w:val="0"/>
                      <w:szCs w:val="21"/>
                    </w:rPr>
                  </w:pPr>
                  <w:r>
                    <w:rPr>
                      <w:kern w:val="0"/>
                      <w:szCs w:val="21"/>
                    </w:rPr>
                    <w:t>细菌</w:t>
                  </w:r>
                </w:p>
                <w:p>
                  <w:pPr>
                    <w:widowControl/>
                    <w:spacing w:line="0" w:lineRule="atLeast"/>
                    <w:jc w:val="center"/>
                    <w:rPr>
                      <w:kern w:val="0"/>
                      <w:szCs w:val="21"/>
                    </w:rPr>
                  </w:pPr>
                  <w:r>
                    <w:rPr>
                      <w:kern w:val="0"/>
                      <w:szCs w:val="21"/>
                    </w:rPr>
                    <w:t>总数</w:t>
                  </w:r>
                </w:p>
                <w:p>
                  <w:pPr>
                    <w:widowControl/>
                    <w:spacing w:line="0" w:lineRule="atLeast"/>
                    <w:jc w:val="center"/>
                    <w:rPr>
                      <w:kern w:val="0"/>
                      <w:szCs w:val="21"/>
                    </w:rPr>
                  </w:pPr>
                  <w:r>
                    <w:rPr>
                      <w:kern w:val="0"/>
                      <w:szCs w:val="21"/>
                    </w:rPr>
                    <w:t>(</w:t>
                  </w:r>
                  <w:r>
                    <w:rPr>
                      <w:bCs/>
                      <w:szCs w:val="21"/>
                    </w:rPr>
                    <w:t>个/mL)</w:t>
                  </w:r>
                </w:p>
              </w:tc>
              <w:tc>
                <w:tcPr>
                  <w:tcW w:w="1050" w:type="dxa"/>
                  <w:noWrap w:val="0"/>
                  <w:vAlign w:val="center"/>
                </w:tcPr>
                <w:p>
                  <w:pPr>
                    <w:widowControl/>
                    <w:spacing w:line="0" w:lineRule="atLeast"/>
                    <w:jc w:val="center"/>
                    <w:rPr>
                      <w:kern w:val="0"/>
                      <w:szCs w:val="21"/>
                    </w:rPr>
                  </w:pPr>
                  <w:r>
                    <w:rPr>
                      <w:kern w:val="0"/>
                      <w:szCs w:val="21"/>
                    </w:rPr>
                    <w:t>总大肠菌群</w:t>
                  </w:r>
                </w:p>
                <w:p>
                  <w:pPr>
                    <w:widowControl/>
                    <w:spacing w:line="0" w:lineRule="atLeast"/>
                    <w:jc w:val="center"/>
                    <w:rPr>
                      <w:kern w:val="0"/>
                      <w:szCs w:val="21"/>
                    </w:rPr>
                  </w:pPr>
                  <w:r>
                    <w:rPr>
                      <w:kern w:val="0"/>
                      <w:szCs w:val="21"/>
                    </w:rPr>
                    <w:t>(</w:t>
                  </w:r>
                  <w:r>
                    <w:rPr>
                      <w:bCs/>
                      <w:szCs w:val="21"/>
                    </w:rPr>
                    <w:t>个/L)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14" w:hRule="atLeast"/>
                <w:jc w:val="center"/>
              </w:trPr>
              <w:tc>
                <w:tcPr>
                  <w:tcW w:w="796" w:type="dxa"/>
                  <w:noWrap w:val="0"/>
                  <w:vAlign w:val="center"/>
                </w:tcPr>
                <w:p>
                  <w:pPr>
                    <w:widowControl/>
                    <w:spacing w:line="0" w:lineRule="atLeast"/>
                    <w:jc w:val="center"/>
                    <w:rPr>
                      <w:kern w:val="0"/>
                      <w:szCs w:val="21"/>
                    </w:rPr>
                  </w:pPr>
                  <w:r>
                    <w:rPr>
                      <w:rFonts w:ascii="宋体"/>
                      <w:szCs w:val="21"/>
                    </w:rPr>
                    <w:t>Ⅲ</w:t>
                  </w:r>
                  <w:r>
                    <w:rPr>
                      <w:kern w:val="0"/>
                      <w:szCs w:val="21"/>
                    </w:rPr>
                    <w:t>类</w:t>
                  </w:r>
                </w:p>
              </w:tc>
              <w:tc>
                <w:tcPr>
                  <w:tcW w:w="993" w:type="dxa"/>
                  <w:noWrap w:val="0"/>
                  <w:vAlign w:val="center"/>
                </w:tcPr>
                <w:p>
                  <w:pPr>
                    <w:widowControl/>
                    <w:spacing w:line="0" w:lineRule="atLeast"/>
                    <w:jc w:val="center"/>
                    <w:rPr>
                      <w:kern w:val="0"/>
                      <w:szCs w:val="21"/>
                    </w:rPr>
                  </w:pPr>
                  <w:r>
                    <w:rPr>
                      <w:kern w:val="0"/>
                      <w:szCs w:val="21"/>
                    </w:rPr>
                    <w:t>15</w:t>
                  </w:r>
                </w:p>
              </w:tc>
              <w:tc>
                <w:tcPr>
                  <w:tcW w:w="850" w:type="dxa"/>
                  <w:noWrap w:val="0"/>
                  <w:vAlign w:val="center"/>
                </w:tcPr>
                <w:p>
                  <w:pPr>
                    <w:widowControl/>
                    <w:spacing w:line="0" w:lineRule="atLeast"/>
                    <w:jc w:val="center"/>
                    <w:rPr>
                      <w:kern w:val="0"/>
                      <w:szCs w:val="21"/>
                    </w:rPr>
                  </w:pPr>
                  <w:r>
                    <w:rPr>
                      <w:kern w:val="0"/>
                      <w:szCs w:val="21"/>
                    </w:rPr>
                    <w:t>3</w:t>
                  </w:r>
                </w:p>
              </w:tc>
              <w:tc>
                <w:tcPr>
                  <w:tcW w:w="851" w:type="dxa"/>
                  <w:noWrap w:val="0"/>
                  <w:vAlign w:val="center"/>
                </w:tcPr>
                <w:p>
                  <w:pPr>
                    <w:widowControl/>
                    <w:spacing w:line="0" w:lineRule="atLeast"/>
                    <w:jc w:val="center"/>
                    <w:rPr>
                      <w:kern w:val="0"/>
                      <w:szCs w:val="21"/>
                    </w:rPr>
                  </w:pPr>
                  <w:r>
                    <w:rPr>
                      <w:kern w:val="0"/>
                      <w:szCs w:val="21"/>
                    </w:rPr>
                    <w:t>6.5-8.5</w:t>
                  </w:r>
                </w:p>
              </w:tc>
              <w:tc>
                <w:tcPr>
                  <w:tcW w:w="850" w:type="dxa"/>
                  <w:noWrap w:val="0"/>
                  <w:vAlign w:val="center"/>
                </w:tcPr>
                <w:p>
                  <w:pPr>
                    <w:widowControl/>
                    <w:spacing w:line="0" w:lineRule="atLeast"/>
                    <w:jc w:val="center"/>
                    <w:rPr>
                      <w:kern w:val="0"/>
                      <w:szCs w:val="21"/>
                    </w:rPr>
                  </w:pPr>
                  <w:r>
                    <w:rPr>
                      <w:kern w:val="0"/>
                      <w:szCs w:val="21"/>
                    </w:rPr>
                    <w:t>450</w:t>
                  </w:r>
                </w:p>
              </w:tc>
              <w:tc>
                <w:tcPr>
                  <w:tcW w:w="851" w:type="dxa"/>
                  <w:noWrap w:val="0"/>
                  <w:vAlign w:val="center"/>
                </w:tcPr>
                <w:p>
                  <w:pPr>
                    <w:widowControl/>
                    <w:spacing w:line="0" w:lineRule="atLeast"/>
                    <w:jc w:val="center"/>
                    <w:rPr>
                      <w:kern w:val="0"/>
                      <w:szCs w:val="21"/>
                    </w:rPr>
                  </w:pPr>
                  <w:r>
                    <w:rPr>
                      <w:kern w:val="0"/>
                      <w:szCs w:val="21"/>
                    </w:rPr>
                    <w:t>20</w:t>
                  </w:r>
                </w:p>
              </w:tc>
              <w:tc>
                <w:tcPr>
                  <w:tcW w:w="850" w:type="dxa"/>
                  <w:noWrap w:val="0"/>
                  <w:vAlign w:val="center"/>
                </w:tcPr>
                <w:p>
                  <w:pPr>
                    <w:widowControl/>
                    <w:spacing w:line="0" w:lineRule="atLeast"/>
                    <w:jc w:val="center"/>
                    <w:rPr>
                      <w:kern w:val="0"/>
                      <w:szCs w:val="21"/>
                    </w:rPr>
                  </w:pPr>
                  <w:r>
                    <w:rPr>
                      <w:kern w:val="0"/>
                      <w:szCs w:val="21"/>
                    </w:rPr>
                    <w:t>0.3</w:t>
                  </w:r>
                </w:p>
              </w:tc>
              <w:tc>
                <w:tcPr>
                  <w:tcW w:w="993" w:type="dxa"/>
                  <w:noWrap w:val="0"/>
                  <w:vAlign w:val="center"/>
                </w:tcPr>
                <w:p>
                  <w:pPr>
                    <w:widowControl/>
                    <w:spacing w:line="0" w:lineRule="atLeast"/>
                    <w:jc w:val="center"/>
                    <w:rPr>
                      <w:kern w:val="0"/>
                      <w:szCs w:val="21"/>
                    </w:rPr>
                  </w:pPr>
                  <w:r>
                    <w:rPr>
                      <w:kern w:val="0"/>
                      <w:szCs w:val="21"/>
                    </w:rPr>
                    <w:t>100</w:t>
                  </w:r>
                </w:p>
              </w:tc>
              <w:tc>
                <w:tcPr>
                  <w:tcW w:w="1050" w:type="dxa"/>
                  <w:noWrap w:val="0"/>
                  <w:vAlign w:val="center"/>
                </w:tcPr>
                <w:p>
                  <w:pPr>
                    <w:widowControl/>
                    <w:spacing w:line="0" w:lineRule="atLeast"/>
                    <w:jc w:val="center"/>
                    <w:rPr>
                      <w:kern w:val="0"/>
                      <w:szCs w:val="21"/>
                    </w:rPr>
                  </w:pPr>
                  <w:r>
                    <w:rPr>
                      <w:kern w:val="0"/>
                      <w:szCs w:val="21"/>
                    </w:rPr>
                    <w:t>3.0</w:t>
                  </w:r>
                </w:p>
              </w:tc>
            </w:tr>
          </w:tbl>
          <w:p>
            <w:pPr>
              <w:spacing w:line="360" w:lineRule="auto"/>
              <w:ind w:firstLine="480" w:firstLineChars="200"/>
              <w:rPr>
                <w:sz w:val="24"/>
              </w:rPr>
            </w:pPr>
            <w:r>
              <w:rPr>
                <w:sz w:val="24"/>
              </w:rPr>
              <w:t>3、声环境</w:t>
            </w:r>
          </w:p>
          <w:p>
            <w:pPr>
              <w:spacing w:line="360" w:lineRule="auto"/>
              <w:ind w:firstLine="480" w:firstLineChars="200"/>
              <w:rPr>
                <w:sz w:val="24"/>
              </w:rPr>
            </w:pPr>
            <w:r>
              <w:rPr>
                <w:sz w:val="24"/>
              </w:rPr>
              <w:t>执行《声环境质量标准》（GB3096-2008）中</w:t>
            </w:r>
            <w:r>
              <w:rPr>
                <w:rFonts w:hint="eastAsia"/>
                <w:sz w:val="24"/>
              </w:rPr>
              <w:t>1</w:t>
            </w:r>
            <w:r>
              <w:rPr>
                <w:sz w:val="24"/>
              </w:rPr>
              <w:t>类，标准值见表</w:t>
            </w:r>
            <w:r>
              <w:rPr>
                <w:rFonts w:hint="eastAsia"/>
                <w:sz w:val="24"/>
              </w:rPr>
              <w:t>8</w:t>
            </w:r>
            <w:r>
              <w:rPr>
                <w:sz w:val="24"/>
              </w:rPr>
              <w:t>所示。</w:t>
            </w:r>
          </w:p>
          <w:p>
            <w:pPr>
              <w:ind w:firstLine="570"/>
              <w:jc w:val="center"/>
              <w:rPr>
                <w:b/>
                <w:szCs w:val="21"/>
              </w:rPr>
            </w:pPr>
            <w:r>
              <w:rPr>
                <w:b/>
                <w:szCs w:val="21"/>
              </w:rPr>
              <w:t>表</w:t>
            </w:r>
            <w:r>
              <w:rPr>
                <w:rFonts w:hint="eastAsia"/>
                <w:b/>
                <w:szCs w:val="21"/>
              </w:rPr>
              <w:t>8</w:t>
            </w:r>
            <w:r>
              <w:rPr>
                <w:b/>
                <w:szCs w:val="21"/>
              </w:rPr>
              <w:t xml:space="preserve">  声环境质量标准dB（A）</w:t>
            </w:r>
          </w:p>
          <w:tbl>
            <w:tblPr>
              <w:tblStyle w:val="4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54"/>
              <w:gridCol w:w="2859"/>
              <w:gridCol w:w="24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954" w:type="dxa"/>
                  <w:noWrap w:val="0"/>
                  <w:vAlign w:val="center"/>
                </w:tcPr>
                <w:p>
                  <w:pPr>
                    <w:spacing w:line="0" w:lineRule="atLeast"/>
                    <w:jc w:val="center"/>
                    <w:rPr>
                      <w:szCs w:val="21"/>
                    </w:rPr>
                  </w:pPr>
                  <w:r>
                    <w:rPr>
                      <w:szCs w:val="21"/>
                    </w:rPr>
                    <w:t>声环境功能区类别</w:t>
                  </w:r>
                </w:p>
              </w:tc>
              <w:tc>
                <w:tcPr>
                  <w:tcW w:w="2859" w:type="dxa"/>
                  <w:noWrap w:val="0"/>
                  <w:vAlign w:val="center"/>
                </w:tcPr>
                <w:p>
                  <w:pPr>
                    <w:spacing w:line="0" w:lineRule="atLeast"/>
                    <w:jc w:val="center"/>
                    <w:rPr>
                      <w:szCs w:val="21"/>
                    </w:rPr>
                  </w:pPr>
                  <w:r>
                    <w:rPr>
                      <w:szCs w:val="21"/>
                    </w:rPr>
                    <w:t>昼间</w:t>
                  </w:r>
                </w:p>
              </w:tc>
              <w:tc>
                <w:tcPr>
                  <w:tcW w:w="2420" w:type="dxa"/>
                  <w:noWrap w:val="0"/>
                  <w:vAlign w:val="center"/>
                </w:tcPr>
                <w:p>
                  <w:pPr>
                    <w:spacing w:line="0" w:lineRule="atLeast"/>
                    <w:jc w:val="center"/>
                    <w:rPr>
                      <w:szCs w:val="21"/>
                    </w:rPr>
                  </w:pPr>
                  <w:r>
                    <w:rPr>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954" w:type="dxa"/>
                  <w:noWrap w:val="0"/>
                  <w:vAlign w:val="center"/>
                </w:tcPr>
                <w:p>
                  <w:pPr>
                    <w:spacing w:line="0" w:lineRule="atLeast"/>
                    <w:jc w:val="center"/>
                    <w:rPr>
                      <w:szCs w:val="21"/>
                    </w:rPr>
                  </w:pPr>
                  <w:r>
                    <w:rPr>
                      <w:szCs w:val="21"/>
                    </w:rPr>
                    <w:t>2</w:t>
                  </w:r>
                </w:p>
              </w:tc>
              <w:tc>
                <w:tcPr>
                  <w:tcW w:w="2859" w:type="dxa"/>
                  <w:noWrap w:val="0"/>
                  <w:vAlign w:val="center"/>
                </w:tcPr>
                <w:p>
                  <w:pPr>
                    <w:spacing w:line="0" w:lineRule="atLeast"/>
                    <w:jc w:val="center"/>
                    <w:rPr>
                      <w:szCs w:val="21"/>
                    </w:rPr>
                  </w:pPr>
                  <w:r>
                    <w:rPr>
                      <w:rFonts w:hint="eastAsia"/>
                      <w:szCs w:val="21"/>
                    </w:rPr>
                    <w:t>55</w:t>
                  </w:r>
                </w:p>
              </w:tc>
              <w:tc>
                <w:tcPr>
                  <w:tcW w:w="2420" w:type="dxa"/>
                  <w:noWrap w:val="0"/>
                  <w:vAlign w:val="center"/>
                </w:tcPr>
                <w:p>
                  <w:pPr>
                    <w:spacing w:line="0" w:lineRule="atLeast"/>
                    <w:jc w:val="center"/>
                    <w:rPr>
                      <w:szCs w:val="21"/>
                    </w:rPr>
                  </w:pPr>
                  <w:r>
                    <w:rPr>
                      <w:rFonts w:hint="eastAsia"/>
                      <w:szCs w:val="21"/>
                    </w:rPr>
                    <w:t>45</w:t>
                  </w:r>
                </w:p>
              </w:tc>
            </w:tr>
          </w:tbl>
          <w:p>
            <w:pPr>
              <w:spacing w:line="480" w:lineRule="exact"/>
              <w:ind w:firstLine="480" w:firstLineChars="20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12" w:hRule="atLeast"/>
          <w:jc w:val="center"/>
        </w:trPr>
        <w:tc>
          <w:tcPr>
            <w:tcW w:w="496" w:type="dxa"/>
            <w:noWrap w:val="0"/>
            <w:vAlign w:val="center"/>
          </w:tcPr>
          <w:p>
            <w:pPr>
              <w:jc w:val="center"/>
              <w:rPr>
                <w:sz w:val="28"/>
              </w:rPr>
            </w:pPr>
            <w:r>
              <w:rPr>
                <w:sz w:val="28"/>
              </w:rPr>
              <w:t>污染物排放标准</w:t>
            </w:r>
          </w:p>
        </w:tc>
        <w:tc>
          <w:tcPr>
            <w:tcW w:w="8292" w:type="dxa"/>
            <w:tcBorders>
              <w:bottom w:val="single" w:color="auto" w:sz="4" w:space="0"/>
            </w:tcBorders>
            <w:noWrap w:val="0"/>
            <w:vAlign w:val="center"/>
          </w:tcPr>
          <w:p>
            <w:pPr>
              <w:spacing w:line="480" w:lineRule="exact"/>
              <w:ind w:firstLine="480" w:firstLineChars="200"/>
              <w:rPr>
                <w:sz w:val="24"/>
              </w:rPr>
            </w:pPr>
            <w:r>
              <w:rPr>
                <w:sz w:val="24"/>
              </w:rPr>
              <w:t>（1）工频电场、工频磁场，执行《电磁环境控制限值》（GB8702</w:t>
            </w:r>
            <w:r>
              <w:t>-</w:t>
            </w:r>
            <w:r>
              <w:rPr>
                <w:sz w:val="24"/>
              </w:rPr>
              <w:t>2014）控制限值；</w:t>
            </w:r>
          </w:p>
          <w:p>
            <w:pPr>
              <w:spacing w:line="480" w:lineRule="exact"/>
              <w:ind w:firstLine="480" w:firstLineChars="200"/>
              <w:rPr>
                <w:sz w:val="24"/>
              </w:rPr>
            </w:pPr>
            <w:r>
              <w:rPr>
                <w:sz w:val="24"/>
              </w:rPr>
              <w:t>（2）施工期噪声执行《建筑施工场界环境噪声排放标准》（GB12523-2011）排放限值；</w:t>
            </w:r>
          </w:p>
          <w:p>
            <w:pPr>
              <w:spacing w:line="480" w:lineRule="exact"/>
              <w:ind w:firstLine="480" w:firstLineChars="200"/>
              <w:rPr>
                <w:sz w:val="24"/>
              </w:rPr>
            </w:pPr>
            <w:r>
              <w:rPr>
                <w:sz w:val="24"/>
              </w:rPr>
              <w:t>（3）施工期无组织扬尘执行《大气污染物综合排放标准》（GB16297-1996）中表2无组织排放监控浓度限值，即颗粒物周界外浓度最高点≤1.0mg/m</w:t>
            </w:r>
            <w:r>
              <w:rPr>
                <w:sz w:val="24"/>
                <w:vertAlign w:val="superscript"/>
              </w:rPr>
              <w:t>3</w:t>
            </w:r>
            <w:r>
              <w:rPr>
                <w:sz w:val="24"/>
              </w:rPr>
              <w:t>；</w:t>
            </w:r>
          </w:p>
          <w:p>
            <w:pPr>
              <w:spacing w:line="480" w:lineRule="exact"/>
              <w:ind w:firstLine="480" w:firstLineChars="200"/>
              <w:rPr>
                <w:sz w:val="24"/>
              </w:rPr>
            </w:pPr>
            <w:r>
              <w:rPr>
                <w:sz w:val="24"/>
              </w:rPr>
              <w:t>（4）运营期厂界噪声达到《工业企业厂界环境噪声排放标准》（GB12348-2008）</w:t>
            </w:r>
            <w:r>
              <w:rPr>
                <w:rFonts w:hint="eastAsia"/>
                <w:sz w:val="24"/>
              </w:rPr>
              <w:t>1</w:t>
            </w:r>
            <w:r>
              <w:rPr>
                <w:sz w:val="24"/>
              </w:rPr>
              <w:t>类，即昼间</w:t>
            </w:r>
            <w:r>
              <w:rPr>
                <w:rFonts w:hint="eastAsia"/>
                <w:sz w:val="24"/>
              </w:rPr>
              <w:t>55</w:t>
            </w:r>
            <w:r>
              <w:rPr>
                <w:sz w:val="24"/>
              </w:rPr>
              <w:t>dB（A），夜间</w:t>
            </w:r>
            <w:r>
              <w:rPr>
                <w:rFonts w:hint="eastAsia"/>
                <w:sz w:val="24"/>
              </w:rPr>
              <w:t>45</w:t>
            </w:r>
            <w:r>
              <w:rPr>
                <w:sz w:val="24"/>
              </w:rPr>
              <w:t>dB（A）。</w:t>
            </w:r>
          </w:p>
          <w:p>
            <w:pPr>
              <w:spacing w:line="480" w:lineRule="exact"/>
              <w:ind w:firstLine="480" w:firstLineChars="200"/>
              <w:rPr>
                <w:sz w:val="24"/>
              </w:rPr>
            </w:pPr>
            <w:r>
              <w:rPr>
                <w:sz w:val="24"/>
              </w:rPr>
              <w:t>以上采用评价标准限值详见表</w:t>
            </w:r>
            <w:r>
              <w:rPr>
                <w:rFonts w:hint="eastAsia"/>
                <w:sz w:val="24"/>
              </w:rPr>
              <w:t>9</w:t>
            </w:r>
            <w:r>
              <w:rPr>
                <w:sz w:val="24"/>
              </w:rPr>
              <w:t>。</w:t>
            </w:r>
          </w:p>
          <w:p>
            <w:pPr>
              <w:spacing w:line="440" w:lineRule="exact"/>
              <w:jc w:val="center"/>
              <w:rPr>
                <w:b/>
                <w:szCs w:val="21"/>
              </w:rPr>
            </w:pPr>
            <w:r>
              <w:rPr>
                <w:b/>
                <w:szCs w:val="21"/>
              </w:rPr>
              <w:t>表</w:t>
            </w:r>
            <w:r>
              <w:rPr>
                <w:rFonts w:hint="eastAsia"/>
                <w:b/>
                <w:szCs w:val="21"/>
              </w:rPr>
              <w:t>9</w:t>
            </w:r>
            <w:r>
              <w:rPr>
                <w:b/>
                <w:szCs w:val="21"/>
              </w:rPr>
              <w:t xml:space="preserve">  评价标准限值</w:t>
            </w:r>
          </w:p>
          <w:tbl>
            <w:tblPr>
              <w:tblStyle w:val="4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1262"/>
              <w:gridCol w:w="1370"/>
              <w:gridCol w:w="36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5" w:hRule="atLeast"/>
                <w:jc w:val="center"/>
              </w:trPr>
              <w:tc>
                <w:tcPr>
                  <w:tcW w:w="1807" w:type="dxa"/>
                  <w:noWrap w:val="0"/>
                  <w:vAlign w:val="center"/>
                </w:tcPr>
                <w:p>
                  <w:pPr>
                    <w:spacing w:line="360" w:lineRule="exact"/>
                    <w:jc w:val="center"/>
                    <w:rPr>
                      <w:snapToGrid w:val="0"/>
                      <w:szCs w:val="21"/>
                    </w:rPr>
                  </w:pPr>
                  <w:r>
                    <w:rPr>
                      <w:snapToGrid w:val="0"/>
                      <w:szCs w:val="21"/>
                    </w:rPr>
                    <w:t>污染物名称</w:t>
                  </w:r>
                </w:p>
              </w:tc>
              <w:tc>
                <w:tcPr>
                  <w:tcW w:w="2632" w:type="dxa"/>
                  <w:gridSpan w:val="2"/>
                  <w:noWrap w:val="0"/>
                  <w:vAlign w:val="center"/>
                </w:tcPr>
                <w:p>
                  <w:pPr>
                    <w:spacing w:line="360" w:lineRule="exact"/>
                    <w:jc w:val="center"/>
                    <w:rPr>
                      <w:snapToGrid w:val="0"/>
                      <w:szCs w:val="21"/>
                    </w:rPr>
                  </w:pPr>
                  <w:r>
                    <w:rPr>
                      <w:snapToGrid w:val="0"/>
                      <w:szCs w:val="21"/>
                    </w:rPr>
                    <w:t>标准值</w:t>
                  </w:r>
                </w:p>
              </w:tc>
              <w:tc>
                <w:tcPr>
                  <w:tcW w:w="3607" w:type="dxa"/>
                  <w:noWrap w:val="0"/>
                  <w:vAlign w:val="center"/>
                </w:tcPr>
                <w:p>
                  <w:pPr>
                    <w:spacing w:line="360" w:lineRule="exact"/>
                    <w:jc w:val="center"/>
                    <w:rPr>
                      <w:snapToGrid w:val="0"/>
                      <w:szCs w:val="21"/>
                    </w:rPr>
                  </w:pPr>
                  <w:r>
                    <w:rPr>
                      <w:snapToGrid w:val="0"/>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3" w:hRule="atLeast"/>
                <w:jc w:val="center"/>
              </w:trPr>
              <w:tc>
                <w:tcPr>
                  <w:tcW w:w="1807" w:type="dxa"/>
                  <w:noWrap w:val="0"/>
                  <w:vAlign w:val="center"/>
                </w:tcPr>
                <w:p>
                  <w:pPr>
                    <w:spacing w:line="360" w:lineRule="exact"/>
                    <w:jc w:val="center"/>
                    <w:rPr>
                      <w:snapToGrid w:val="0"/>
                      <w:szCs w:val="21"/>
                    </w:rPr>
                  </w:pPr>
                  <w:r>
                    <w:rPr>
                      <w:snapToGrid w:val="0"/>
                      <w:szCs w:val="21"/>
                    </w:rPr>
                    <w:t>工频电场强度</w:t>
                  </w:r>
                </w:p>
              </w:tc>
              <w:tc>
                <w:tcPr>
                  <w:tcW w:w="2632" w:type="dxa"/>
                  <w:gridSpan w:val="2"/>
                  <w:noWrap w:val="0"/>
                  <w:vAlign w:val="center"/>
                </w:tcPr>
                <w:p>
                  <w:pPr>
                    <w:spacing w:line="360" w:lineRule="exact"/>
                    <w:jc w:val="center"/>
                    <w:rPr>
                      <w:snapToGrid w:val="0"/>
                      <w:szCs w:val="21"/>
                    </w:rPr>
                  </w:pPr>
                  <w:r>
                    <w:rPr>
                      <w:snapToGrid w:val="0"/>
                      <w:szCs w:val="21"/>
                    </w:rPr>
                    <w:t>4kV/m</w:t>
                  </w:r>
                </w:p>
              </w:tc>
              <w:tc>
                <w:tcPr>
                  <w:tcW w:w="3607" w:type="dxa"/>
                  <w:vMerge w:val="restart"/>
                  <w:noWrap w:val="0"/>
                  <w:vAlign w:val="center"/>
                </w:tcPr>
                <w:p>
                  <w:pPr>
                    <w:spacing w:line="360" w:lineRule="exact"/>
                    <w:jc w:val="center"/>
                    <w:rPr>
                      <w:snapToGrid w:val="0"/>
                      <w:szCs w:val="21"/>
                    </w:rPr>
                  </w:pPr>
                  <w:r>
                    <w:rPr>
                      <w:snapToGrid w:val="0"/>
                      <w:szCs w:val="21"/>
                    </w:rPr>
                    <w:t>《电磁环境控制限值》（GB8702-2014）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3" w:hRule="atLeast"/>
                <w:jc w:val="center"/>
              </w:trPr>
              <w:tc>
                <w:tcPr>
                  <w:tcW w:w="1807" w:type="dxa"/>
                  <w:noWrap w:val="0"/>
                  <w:vAlign w:val="center"/>
                </w:tcPr>
                <w:p>
                  <w:pPr>
                    <w:spacing w:line="360" w:lineRule="exact"/>
                    <w:jc w:val="center"/>
                    <w:rPr>
                      <w:snapToGrid w:val="0"/>
                      <w:szCs w:val="21"/>
                    </w:rPr>
                  </w:pPr>
                  <w:r>
                    <w:rPr>
                      <w:snapToGrid w:val="0"/>
                      <w:szCs w:val="21"/>
                    </w:rPr>
                    <w:t>工频磁感应强度</w:t>
                  </w:r>
                </w:p>
              </w:tc>
              <w:tc>
                <w:tcPr>
                  <w:tcW w:w="2632" w:type="dxa"/>
                  <w:gridSpan w:val="2"/>
                  <w:noWrap w:val="0"/>
                  <w:vAlign w:val="center"/>
                </w:tcPr>
                <w:p>
                  <w:pPr>
                    <w:spacing w:line="360" w:lineRule="exact"/>
                    <w:jc w:val="center"/>
                    <w:rPr>
                      <w:snapToGrid w:val="0"/>
                      <w:szCs w:val="21"/>
                    </w:rPr>
                  </w:pPr>
                  <w:r>
                    <w:rPr>
                      <w:snapToGrid w:val="0"/>
                      <w:szCs w:val="21"/>
                    </w:rPr>
                    <w:t>100μT</w:t>
                  </w:r>
                </w:p>
              </w:tc>
              <w:tc>
                <w:tcPr>
                  <w:tcW w:w="3607" w:type="dxa"/>
                  <w:vMerge w:val="continue"/>
                  <w:noWrap w:val="0"/>
                  <w:vAlign w:val="center"/>
                </w:tcPr>
                <w:p>
                  <w:pPr>
                    <w:spacing w:line="360" w:lineRule="exact"/>
                    <w:jc w:val="center"/>
                    <w:rPr>
                      <w:snapToGrid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0" w:hRule="atLeast"/>
                <w:jc w:val="center"/>
              </w:trPr>
              <w:tc>
                <w:tcPr>
                  <w:tcW w:w="1807" w:type="dxa"/>
                  <w:noWrap w:val="0"/>
                  <w:vAlign w:val="center"/>
                </w:tcPr>
                <w:p>
                  <w:pPr>
                    <w:spacing w:line="360" w:lineRule="exact"/>
                    <w:jc w:val="center"/>
                    <w:rPr>
                      <w:snapToGrid w:val="0"/>
                      <w:szCs w:val="21"/>
                    </w:rPr>
                  </w:pPr>
                  <w:r>
                    <w:rPr>
                      <w:snapToGrid w:val="0"/>
                      <w:szCs w:val="21"/>
                    </w:rPr>
                    <w:t>施工噪声</w:t>
                  </w:r>
                </w:p>
              </w:tc>
              <w:tc>
                <w:tcPr>
                  <w:tcW w:w="1262" w:type="dxa"/>
                  <w:noWrap w:val="0"/>
                  <w:vAlign w:val="center"/>
                </w:tcPr>
                <w:p>
                  <w:pPr>
                    <w:spacing w:line="360" w:lineRule="exact"/>
                    <w:jc w:val="center"/>
                    <w:rPr>
                      <w:snapToGrid w:val="0"/>
                      <w:szCs w:val="21"/>
                    </w:rPr>
                  </w:pPr>
                  <w:r>
                    <w:rPr>
                      <w:snapToGrid w:val="0"/>
                      <w:szCs w:val="21"/>
                    </w:rPr>
                    <w:t>70dB（A）（昼）</w:t>
                  </w:r>
                </w:p>
              </w:tc>
              <w:tc>
                <w:tcPr>
                  <w:tcW w:w="1370" w:type="dxa"/>
                  <w:noWrap w:val="0"/>
                  <w:vAlign w:val="center"/>
                </w:tcPr>
                <w:p>
                  <w:pPr>
                    <w:spacing w:line="360" w:lineRule="exact"/>
                    <w:jc w:val="center"/>
                    <w:rPr>
                      <w:snapToGrid w:val="0"/>
                      <w:szCs w:val="21"/>
                    </w:rPr>
                  </w:pPr>
                  <w:r>
                    <w:rPr>
                      <w:snapToGrid w:val="0"/>
                      <w:szCs w:val="21"/>
                    </w:rPr>
                    <w:t>55dB（A）（夜）</w:t>
                  </w:r>
                </w:p>
              </w:tc>
              <w:tc>
                <w:tcPr>
                  <w:tcW w:w="3607" w:type="dxa"/>
                  <w:noWrap w:val="0"/>
                  <w:vAlign w:val="center"/>
                </w:tcPr>
                <w:p>
                  <w:pPr>
                    <w:spacing w:line="360" w:lineRule="exact"/>
                    <w:jc w:val="center"/>
                    <w:rPr>
                      <w:snapToGrid w:val="0"/>
                      <w:szCs w:val="21"/>
                    </w:rPr>
                  </w:pPr>
                  <w:r>
                    <w:rPr>
                      <w:snapToGrid w:val="0"/>
                      <w:szCs w:val="21"/>
                    </w:rPr>
                    <w:t>建筑施工场界环境噪声排放标准（GB12523-2011）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31" w:hRule="atLeast"/>
                <w:jc w:val="center"/>
              </w:trPr>
              <w:tc>
                <w:tcPr>
                  <w:tcW w:w="1807" w:type="dxa"/>
                  <w:noWrap w:val="0"/>
                  <w:vAlign w:val="center"/>
                </w:tcPr>
                <w:p>
                  <w:pPr>
                    <w:spacing w:line="360" w:lineRule="exact"/>
                    <w:jc w:val="center"/>
                    <w:rPr>
                      <w:snapToGrid w:val="0"/>
                      <w:szCs w:val="21"/>
                    </w:rPr>
                  </w:pPr>
                  <w:r>
                    <w:rPr>
                      <w:snapToGrid w:val="0"/>
                      <w:szCs w:val="21"/>
                    </w:rPr>
                    <w:t>厂界噪声</w:t>
                  </w:r>
                </w:p>
              </w:tc>
              <w:tc>
                <w:tcPr>
                  <w:tcW w:w="1262" w:type="dxa"/>
                  <w:noWrap w:val="0"/>
                  <w:vAlign w:val="center"/>
                </w:tcPr>
                <w:p>
                  <w:pPr>
                    <w:spacing w:line="360" w:lineRule="exact"/>
                    <w:jc w:val="center"/>
                    <w:rPr>
                      <w:snapToGrid w:val="0"/>
                      <w:szCs w:val="21"/>
                    </w:rPr>
                  </w:pPr>
                  <w:r>
                    <w:rPr>
                      <w:rFonts w:hint="eastAsia"/>
                      <w:snapToGrid w:val="0"/>
                      <w:szCs w:val="21"/>
                    </w:rPr>
                    <w:t>55</w:t>
                  </w:r>
                  <w:r>
                    <w:rPr>
                      <w:snapToGrid w:val="0"/>
                      <w:szCs w:val="21"/>
                    </w:rPr>
                    <w:t>dB（A）（昼）</w:t>
                  </w:r>
                </w:p>
              </w:tc>
              <w:tc>
                <w:tcPr>
                  <w:tcW w:w="1370" w:type="dxa"/>
                  <w:noWrap w:val="0"/>
                  <w:vAlign w:val="center"/>
                </w:tcPr>
                <w:p>
                  <w:pPr>
                    <w:spacing w:line="360" w:lineRule="exact"/>
                    <w:jc w:val="center"/>
                    <w:rPr>
                      <w:snapToGrid w:val="0"/>
                      <w:szCs w:val="21"/>
                    </w:rPr>
                  </w:pPr>
                  <w:r>
                    <w:rPr>
                      <w:rFonts w:hint="eastAsia"/>
                      <w:snapToGrid w:val="0"/>
                      <w:szCs w:val="21"/>
                    </w:rPr>
                    <w:t>45</w:t>
                  </w:r>
                  <w:r>
                    <w:rPr>
                      <w:snapToGrid w:val="0"/>
                      <w:szCs w:val="21"/>
                    </w:rPr>
                    <w:t>dB（A）（夜）</w:t>
                  </w:r>
                </w:p>
              </w:tc>
              <w:tc>
                <w:tcPr>
                  <w:tcW w:w="3607" w:type="dxa"/>
                  <w:noWrap w:val="0"/>
                  <w:vAlign w:val="center"/>
                </w:tcPr>
                <w:p>
                  <w:pPr>
                    <w:spacing w:line="360" w:lineRule="exact"/>
                    <w:jc w:val="center"/>
                    <w:rPr>
                      <w:snapToGrid w:val="0"/>
                      <w:szCs w:val="21"/>
                    </w:rPr>
                  </w:pPr>
                  <w:r>
                    <w:rPr>
                      <w:snapToGrid w:val="0"/>
                      <w:szCs w:val="21"/>
                    </w:rPr>
                    <w:t>工业企业厂界环境噪声排放标准（GB12348-2008）</w:t>
                  </w:r>
                  <w:r>
                    <w:rPr>
                      <w:rFonts w:hint="eastAsia"/>
                      <w:snapToGrid w:val="0"/>
                      <w:szCs w:val="21"/>
                    </w:rPr>
                    <w:t>1</w:t>
                  </w:r>
                  <w:r>
                    <w:rPr>
                      <w:snapToGrid w:val="0"/>
                      <w:szCs w:val="21"/>
                    </w:rPr>
                    <w:t>类</w:t>
                  </w:r>
                </w:p>
              </w:tc>
            </w:tr>
          </w:tbl>
          <w:p>
            <w:pPr>
              <w:spacing w:before="156" w:beforeLines="50" w:line="36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29" w:hRule="atLeast"/>
          <w:jc w:val="center"/>
        </w:trPr>
        <w:tc>
          <w:tcPr>
            <w:tcW w:w="496" w:type="dxa"/>
            <w:noWrap w:val="0"/>
            <w:vAlign w:val="center"/>
          </w:tcPr>
          <w:p>
            <w:pPr>
              <w:jc w:val="center"/>
              <w:rPr>
                <w:sz w:val="28"/>
              </w:rPr>
            </w:pPr>
            <w:r>
              <w:rPr>
                <w:sz w:val="28"/>
              </w:rPr>
              <w:t>总量控制指标</w:t>
            </w:r>
          </w:p>
        </w:tc>
        <w:tc>
          <w:tcPr>
            <w:tcW w:w="8292" w:type="dxa"/>
            <w:tcBorders>
              <w:bottom w:val="single" w:color="auto" w:sz="4" w:space="0"/>
            </w:tcBorders>
            <w:noWrap w:val="0"/>
            <w:vAlign w:val="top"/>
          </w:tcPr>
          <w:p>
            <w:pPr>
              <w:tabs>
                <w:tab w:val="left" w:pos="4425"/>
              </w:tabs>
              <w:spacing w:line="440" w:lineRule="exact"/>
              <w:rPr>
                <w:sz w:val="28"/>
              </w:rPr>
            </w:pPr>
            <w:r>
              <w:rPr>
                <w:sz w:val="28"/>
              </w:rPr>
              <w:t>建设项目建成后需要进行污染物总量控制的指标有：</w:t>
            </w:r>
          </w:p>
          <w:p>
            <w:pPr>
              <w:spacing w:line="480" w:lineRule="exact"/>
              <w:ind w:firstLine="480" w:firstLineChars="200"/>
              <w:jc w:val="left"/>
              <w:rPr>
                <w:sz w:val="24"/>
              </w:rPr>
            </w:pPr>
            <w:r>
              <w:rPr>
                <w:sz w:val="24"/>
              </w:rPr>
              <w:t>根据国家污染物排放执行总量控制的规定，结合本项目污染源及污染物排放特征，本项目运行期间不产生SO</w:t>
            </w:r>
            <w:r>
              <w:rPr>
                <w:sz w:val="24"/>
                <w:vertAlign w:val="subscript"/>
              </w:rPr>
              <w:t>2</w:t>
            </w:r>
            <w:r>
              <w:rPr>
                <w:sz w:val="24"/>
              </w:rPr>
              <w:t>、氮氧化物、COD、氨氮，因此确定本项目污染物排放总量控制指标为：SO</w:t>
            </w:r>
            <w:r>
              <w:rPr>
                <w:sz w:val="24"/>
                <w:vertAlign w:val="subscript"/>
              </w:rPr>
              <w:t>2</w:t>
            </w:r>
            <w:r>
              <w:rPr>
                <w:sz w:val="24"/>
              </w:rPr>
              <w:t>：0 t/a、氮氧化物：0t/a、COD：0t/a、氨氮：0t/a。</w:t>
            </w: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tc>
      </w:tr>
    </w:tbl>
    <w:p>
      <w:pPr>
        <w:pStyle w:val="2"/>
        <w:rPr>
          <w:rFonts w:ascii="Times New Roman"/>
        </w:rPr>
      </w:pPr>
      <w:r>
        <w:rPr>
          <w:rFonts w:ascii="Times New Roman"/>
        </w:rPr>
        <w:t>建设项目工程分析</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04" w:hRule="atLeast"/>
          <w:jc w:val="center"/>
        </w:trPr>
        <w:tc>
          <w:tcPr>
            <w:tcW w:w="8522" w:type="dxa"/>
            <w:noWrap w:val="0"/>
            <w:vAlign w:val="top"/>
          </w:tcPr>
          <w:p>
            <w:pPr>
              <w:rPr>
                <w:rFonts w:eastAsia="黑体"/>
                <w:sz w:val="28"/>
              </w:rPr>
            </w:pPr>
            <w:r>
              <w:rPr>
                <w:rFonts w:eastAsia="黑体"/>
                <w:sz w:val="28"/>
              </w:rPr>
              <w:t>工艺流程</w:t>
            </w:r>
          </w:p>
          <w:p>
            <w:pPr>
              <w:snapToGrid w:val="0"/>
              <w:spacing w:line="480" w:lineRule="exact"/>
              <w:ind w:firstLine="480" w:firstLineChars="200"/>
              <w:rPr>
                <w:sz w:val="24"/>
              </w:rPr>
            </w:pPr>
            <w:r>
              <w:rPr>
                <w:sz w:val="24"/>
              </w:rPr>
              <w:t>线路施工流程见下图。</w:t>
            </w:r>
          </w:p>
          <w:p>
            <w:pPr>
              <w:snapToGrid w:val="0"/>
              <w:spacing w:line="480" w:lineRule="atLeast"/>
              <w:rPr>
                <w:szCs w:val="21"/>
              </w:rPr>
            </w:pPr>
            <w:r>
              <w:object>
                <v:shape id="_x0000_i1025" o:spt="75" type="#_x0000_t75" style="height:74.65pt;width:415.25pt;" o:ole="t" filled="f" stroked="f" coordsize="21600,21600">
                  <v:path/>
                  <v:fill on="f" focussize="0,0"/>
                  <v:stroke on="f"/>
                  <v:imagedata r:id="rId9" o:title=""/>
                  <o:lock v:ext="edit" grouping="f" rotation="f" text="f" aspectratio="t"/>
                  <w10:wrap type="none"/>
                  <w10:anchorlock/>
                </v:shape>
                <o:OLEObject Type="Embed" ProgID="Visio.Drawing.11" ShapeID="_x0000_i1025" DrawAspect="Content" ObjectID="_1468075725" r:id="rId8">
                  <o:LockedField>false</o:LockedField>
                </o:OLEObject>
              </w:object>
            </w:r>
          </w:p>
          <w:p>
            <w:pPr>
              <w:snapToGrid w:val="0"/>
              <w:spacing w:line="480" w:lineRule="exact"/>
              <w:ind w:firstLine="420" w:firstLineChars="200"/>
              <w:jc w:val="center"/>
              <w:rPr>
                <w:b/>
                <w:szCs w:val="21"/>
              </w:rPr>
            </w:pPr>
            <w:r>
              <w:rPr>
                <w:b/>
                <w:szCs w:val="21"/>
              </w:rPr>
              <w:t>图1  线路施工流程图</w:t>
            </w:r>
          </w:p>
          <w:p>
            <w:pPr>
              <w:snapToGrid w:val="0"/>
              <w:spacing w:line="480" w:lineRule="exact"/>
              <w:ind w:firstLine="480" w:firstLineChars="200"/>
              <w:rPr>
                <w:rFonts w:hint="eastAsia"/>
                <w:sz w:val="24"/>
              </w:rPr>
            </w:pPr>
            <w:r>
              <w:rPr>
                <w:rFonts w:hint="eastAsia"/>
                <w:sz w:val="24"/>
              </w:rPr>
              <w:t>本工程施工期较短，施工主要内容塔基基础、立塔、挂线，施工期为2-3个月。</w:t>
            </w:r>
          </w:p>
          <w:p>
            <w:pPr>
              <w:snapToGrid w:val="0"/>
              <w:spacing w:line="480" w:lineRule="exact"/>
              <w:ind w:firstLine="480" w:firstLineChars="200"/>
              <w:rPr>
                <w:sz w:val="24"/>
              </w:rPr>
            </w:pPr>
            <w:r>
              <w:rPr>
                <w:sz w:val="24"/>
              </w:rPr>
              <w:t>1、塔基施工</w:t>
            </w:r>
          </w:p>
          <w:p>
            <w:pPr>
              <w:snapToGrid w:val="0"/>
              <w:spacing w:line="480" w:lineRule="exact"/>
              <w:ind w:firstLine="480" w:firstLineChars="200"/>
              <w:rPr>
                <w:sz w:val="24"/>
              </w:rPr>
            </w:pPr>
            <w:r>
              <w:rPr>
                <w:sz w:val="24"/>
              </w:rPr>
              <w:t>塔基建设施工材料运输，在</w:t>
            </w:r>
            <w:r>
              <w:rPr>
                <w:bCs/>
                <w:sz w:val="24"/>
              </w:rPr>
              <w:t>平原地区</w:t>
            </w:r>
            <w:r>
              <w:rPr>
                <w:sz w:val="24"/>
              </w:rPr>
              <w:t>线路塔基开挖采用四基座分别开挖，减小开挖面。基础型式不同施工工艺也不同。</w:t>
            </w:r>
          </w:p>
          <w:p>
            <w:pPr>
              <w:adjustRightInd w:val="0"/>
              <w:snapToGrid w:val="0"/>
              <w:spacing w:line="480" w:lineRule="exact"/>
              <w:ind w:firstLine="480" w:firstLineChars="200"/>
              <w:rPr>
                <w:sz w:val="24"/>
              </w:rPr>
            </w:pPr>
            <w:r>
              <w:rPr>
                <w:sz w:val="24"/>
              </w:rPr>
              <w:t>插入式基础和主柱配筋式基础开挖采用人工掏挖，塔基基础采用商品混凝土。</w:t>
            </w:r>
            <w:r>
              <w:rPr>
                <w:bCs/>
                <w:sz w:val="24"/>
              </w:rPr>
              <w:t>灌注桩基础采用机械钻孔，孔好钻以后，安装钢筋骨架，安装前设置定位钢环、混凝土垫块以保证保护层厚度，固定骨架，灌注混凝土。</w:t>
            </w:r>
          </w:p>
          <w:p>
            <w:pPr>
              <w:adjustRightInd w:val="0"/>
              <w:snapToGrid w:val="0"/>
              <w:spacing w:line="480" w:lineRule="exact"/>
              <w:ind w:firstLine="480" w:firstLineChars="200"/>
              <w:rPr>
                <w:sz w:val="24"/>
              </w:rPr>
            </w:pPr>
            <w:r>
              <w:rPr>
                <w:sz w:val="24"/>
              </w:rPr>
              <w:t>2、架线施工</w:t>
            </w:r>
          </w:p>
          <w:p>
            <w:pPr>
              <w:adjustRightInd w:val="0"/>
              <w:snapToGrid w:val="0"/>
              <w:spacing w:line="480" w:lineRule="exact"/>
              <w:ind w:firstLine="480" w:firstLineChars="200"/>
              <w:rPr>
                <w:bCs/>
                <w:sz w:val="24"/>
              </w:rPr>
            </w:pPr>
            <w:r>
              <w:rPr>
                <w:bCs/>
                <w:sz w:val="24"/>
              </w:rPr>
              <w:t>工程所用直线塔或耐张塔根据铁塔结构特点分解组立。导线采用张力牵引放线，防止导线磨损，所以每回线路都要设置牵张场地。</w:t>
            </w:r>
          </w:p>
          <w:p>
            <w:pPr>
              <w:tabs>
                <w:tab w:val="left" w:pos="700"/>
              </w:tabs>
              <w:adjustRightInd w:val="0"/>
              <w:snapToGrid w:val="0"/>
              <w:spacing w:line="480" w:lineRule="exact"/>
              <w:ind w:firstLine="480" w:firstLineChars="200"/>
              <w:rPr>
                <w:bCs/>
                <w:sz w:val="24"/>
              </w:rPr>
            </w:pPr>
            <w:r>
              <w:rPr>
                <w:bCs/>
                <w:sz w:val="24"/>
              </w:rPr>
              <w:t>各线路导、地线均采用张力放线施工方法。根据实际情况选择放线方式。导、地线在放线过程中防止导、地线落地拖拉及相互摩擦。张力放线时需在耐张段的线路范围设置牵张场地。</w:t>
            </w:r>
          </w:p>
          <w:p>
            <w:pPr>
              <w:adjustRightInd w:val="0"/>
              <w:snapToGrid w:val="0"/>
              <w:spacing w:line="480" w:lineRule="exact"/>
              <w:ind w:firstLine="560" w:firstLineChars="200"/>
              <w:rPr>
                <w:rFonts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54" w:hRule="atLeast"/>
          <w:jc w:val="center"/>
        </w:trPr>
        <w:tc>
          <w:tcPr>
            <w:tcW w:w="8522" w:type="dxa"/>
            <w:noWrap w:val="0"/>
            <w:vAlign w:val="top"/>
          </w:tcPr>
          <w:p>
            <w:pPr>
              <w:tabs>
                <w:tab w:val="left" w:pos="4425"/>
              </w:tabs>
              <w:adjustRightInd w:val="0"/>
              <w:snapToGrid w:val="0"/>
              <w:spacing w:line="480" w:lineRule="exact"/>
              <w:rPr>
                <w:b/>
                <w:bCs/>
                <w:sz w:val="24"/>
              </w:rPr>
            </w:pPr>
            <w:r>
              <w:rPr>
                <w:b/>
                <w:bCs/>
                <w:sz w:val="24"/>
              </w:rPr>
              <w:t>主要污染工序：</w:t>
            </w:r>
          </w:p>
          <w:p>
            <w:pPr>
              <w:spacing w:line="480" w:lineRule="exact"/>
              <w:ind w:firstLine="480" w:firstLineChars="200"/>
              <w:rPr>
                <w:b/>
                <w:sz w:val="24"/>
                <w:szCs w:val="28"/>
              </w:rPr>
            </w:pPr>
            <w:r>
              <w:rPr>
                <w:b/>
                <w:sz w:val="24"/>
                <w:szCs w:val="28"/>
              </w:rPr>
              <w:t>1、输电线路施工期</w:t>
            </w:r>
          </w:p>
          <w:p>
            <w:pPr>
              <w:spacing w:line="480" w:lineRule="exact"/>
              <w:ind w:firstLine="480" w:firstLineChars="200"/>
              <w:rPr>
                <w:sz w:val="24"/>
              </w:rPr>
            </w:pPr>
            <w:r>
              <w:rPr>
                <w:sz w:val="24"/>
              </w:rPr>
              <w:t>输电线路施工期的主要污染因子有：土地占用、植被破坏、施工扬尘及机械尾气、施工废（污）水、施工噪声、固体废物、水土流失等。</w:t>
            </w:r>
          </w:p>
          <w:p>
            <w:pPr>
              <w:spacing w:line="480" w:lineRule="exact"/>
              <w:ind w:firstLine="480" w:firstLineChars="200"/>
              <w:rPr>
                <w:sz w:val="24"/>
              </w:rPr>
            </w:pPr>
            <w:r>
              <w:rPr>
                <w:sz w:val="24"/>
              </w:rPr>
              <w:t>（1）土地占用</w:t>
            </w:r>
          </w:p>
          <w:p>
            <w:pPr>
              <w:spacing w:line="480" w:lineRule="exact"/>
              <w:ind w:firstLine="480" w:firstLineChars="200"/>
              <w:rPr>
                <w:sz w:val="24"/>
              </w:rPr>
            </w:pPr>
            <w:r>
              <w:rPr>
                <w:sz w:val="24"/>
              </w:rPr>
              <w:t>主要污染工序：架空线路塔基占地，可能影响土地功能，改变土地用途；施工期还会临时占用部分土地，但施工结束后可恢复原土地功能。</w:t>
            </w:r>
          </w:p>
          <w:p>
            <w:pPr>
              <w:spacing w:line="480" w:lineRule="exact"/>
              <w:ind w:firstLine="480" w:firstLineChars="200"/>
              <w:rPr>
                <w:sz w:val="24"/>
              </w:rPr>
            </w:pPr>
            <w:r>
              <w:rPr>
                <w:sz w:val="24"/>
              </w:rPr>
              <w:t>（2）植被破坏</w:t>
            </w:r>
          </w:p>
          <w:p>
            <w:pPr>
              <w:spacing w:line="480" w:lineRule="exact"/>
              <w:ind w:firstLine="480" w:firstLineChars="200"/>
              <w:rPr>
                <w:sz w:val="24"/>
              </w:rPr>
            </w:pPr>
            <w:r>
              <w:rPr>
                <w:sz w:val="24"/>
              </w:rPr>
              <w:t>主要污染工序：塔基基础开挖施工等将破坏地表植被；杆塔组立、牵张架线将踩压和破坏施工场地周围植被，并产生扬尘，弃土弃渣临时堆放将造成水土流失；对生态环境有一定影响。</w:t>
            </w:r>
          </w:p>
          <w:p>
            <w:pPr>
              <w:spacing w:line="480" w:lineRule="exact"/>
              <w:ind w:firstLine="480" w:firstLineChars="200"/>
              <w:rPr>
                <w:sz w:val="24"/>
              </w:rPr>
            </w:pPr>
            <w:r>
              <w:rPr>
                <w:sz w:val="24"/>
              </w:rPr>
              <w:t>（3）施工扬尘及机械尾气</w:t>
            </w:r>
          </w:p>
          <w:p>
            <w:pPr>
              <w:spacing w:line="480" w:lineRule="exact"/>
              <w:ind w:firstLine="480" w:firstLineChars="200"/>
              <w:rPr>
                <w:sz w:val="24"/>
              </w:rPr>
            </w:pPr>
            <w:r>
              <w:rPr>
                <w:sz w:val="24"/>
              </w:rPr>
              <w:t>塔基基础开挖施工、临时土方的堆放会产生一定的扬尘，施工机械和运输车辆产生的尾气，会对周边空气环境造成一定的影响。</w:t>
            </w:r>
          </w:p>
          <w:p>
            <w:pPr>
              <w:spacing w:line="480" w:lineRule="exact"/>
              <w:ind w:firstLine="480" w:firstLineChars="200"/>
              <w:rPr>
                <w:sz w:val="24"/>
              </w:rPr>
            </w:pPr>
            <w:r>
              <w:rPr>
                <w:sz w:val="24"/>
              </w:rPr>
              <w:t>（4）施工废（污）水</w:t>
            </w:r>
          </w:p>
          <w:p>
            <w:pPr>
              <w:spacing w:line="480" w:lineRule="exact"/>
              <w:ind w:firstLine="480" w:firstLineChars="200"/>
              <w:rPr>
                <w:sz w:val="24"/>
              </w:rPr>
            </w:pPr>
            <w:r>
              <w:rPr>
                <w:sz w:val="24"/>
              </w:rPr>
              <w:t>施工过程中产生少量的生产废水及施工人员生活污水。</w:t>
            </w:r>
          </w:p>
          <w:p>
            <w:pPr>
              <w:spacing w:line="480" w:lineRule="exact"/>
              <w:ind w:firstLine="480" w:firstLineChars="200"/>
              <w:rPr>
                <w:sz w:val="24"/>
              </w:rPr>
            </w:pPr>
            <w:r>
              <w:rPr>
                <w:sz w:val="24"/>
              </w:rPr>
              <w:t>（5）施工噪声</w:t>
            </w:r>
          </w:p>
          <w:p>
            <w:pPr>
              <w:spacing w:line="480" w:lineRule="exact"/>
              <w:ind w:firstLine="480" w:firstLineChars="200"/>
              <w:rPr>
                <w:sz w:val="24"/>
              </w:rPr>
            </w:pPr>
            <w:r>
              <w:rPr>
                <w:sz w:val="24"/>
              </w:rPr>
              <w:t>主要污染工序：由塔基施工、张力放线作业等产生，主要有牵张机组、张力机组等机械设备噪声，施工物料运输的交通噪声。</w:t>
            </w:r>
          </w:p>
          <w:p>
            <w:pPr>
              <w:spacing w:line="480" w:lineRule="exact"/>
              <w:ind w:firstLine="480" w:firstLineChars="200"/>
              <w:rPr>
                <w:sz w:val="24"/>
              </w:rPr>
            </w:pPr>
            <w:r>
              <w:rPr>
                <w:sz w:val="24"/>
              </w:rPr>
              <w:t>（6）施工固体废物</w:t>
            </w:r>
          </w:p>
          <w:p>
            <w:pPr>
              <w:spacing w:line="480" w:lineRule="exact"/>
              <w:ind w:firstLine="480" w:firstLineChars="200"/>
              <w:rPr>
                <w:sz w:val="24"/>
              </w:rPr>
            </w:pPr>
            <w:r>
              <w:rPr>
                <w:sz w:val="24"/>
              </w:rPr>
              <w:t>线路建设过程中将产生废弃砂石、弃土及水泥块等建筑垃圾及施工人员的生活垃圾。</w:t>
            </w:r>
          </w:p>
          <w:p>
            <w:pPr>
              <w:spacing w:line="480" w:lineRule="exact"/>
              <w:ind w:firstLine="464" w:firstLineChars="200"/>
              <w:rPr>
                <w:spacing w:val="-4"/>
                <w:sz w:val="24"/>
              </w:rPr>
            </w:pPr>
            <w:r>
              <w:rPr>
                <w:spacing w:val="-4"/>
                <w:sz w:val="24"/>
              </w:rPr>
              <w:t>（7）水土流失</w:t>
            </w:r>
          </w:p>
          <w:p>
            <w:pPr>
              <w:spacing w:line="480" w:lineRule="exact"/>
              <w:ind w:firstLine="480" w:firstLineChars="200"/>
              <w:rPr>
                <w:sz w:val="24"/>
              </w:rPr>
            </w:pPr>
            <w:r>
              <w:rPr>
                <w:sz w:val="24"/>
              </w:rPr>
              <w:t>塔基基础开挖、临时堆土等造成一定的水土流失。</w:t>
            </w:r>
            <w:r>
              <w:rPr>
                <w:bCs/>
                <w:sz w:val="24"/>
              </w:rPr>
              <w:t>弃渣部分作为后期绿化覆土，</w:t>
            </w:r>
            <w:r>
              <w:rPr>
                <w:sz w:val="24"/>
              </w:rPr>
              <w:t>不能利用或多余的弃土平铺于塔基的连梁内，</w:t>
            </w:r>
            <w:r>
              <w:rPr>
                <w:bCs/>
                <w:sz w:val="24"/>
              </w:rPr>
              <w:t>线路工程不需专设弃渣场。</w:t>
            </w:r>
          </w:p>
          <w:p>
            <w:pPr>
              <w:spacing w:line="480" w:lineRule="exact"/>
              <w:ind w:firstLine="480" w:firstLineChars="200"/>
              <w:rPr>
                <w:b/>
                <w:sz w:val="24"/>
                <w:szCs w:val="28"/>
              </w:rPr>
            </w:pPr>
            <w:r>
              <w:rPr>
                <w:b/>
                <w:sz w:val="24"/>
                <w:szCs w:val="28"/>
              </w:rPr>
              <w:t>2、输电线路运营期</w:t>
            </w:r>
          </w:p>
          <w:p>
            <w:pPr>
              <w:pStyle w:val="17"/>
              <w:spacing w:line="540" w:lineRule="exact"/>
              <w:ind w:firstLineChars="200"/>
              <w:rPr>
                <w:b/>
                <w:bCs/>
              </w:rPr>
            </w:pPr>
            <w:r>
              <w:t>（1）</w:t>
            </w:r>
            <w:r>
              <w:rPr>
                <w:bCs/>
              </w:rPr>
              <w:t>电磁环境影响</w:t>
            </w:r>
          </w:p>
          <w:p>
            <w:pPr>
              <w:pStyle w:val="17"/>
              <w:spacing w:line="540" w:lineRule="exact"/>
              <w:ind w:firstLineChars="200"/>
            </w:pPr>
            <w:r>
              <w:t>线路沿线及附近产生的工频电磁场对环境的影响。</w:t>
            </w:r>
          </w:p>
          <w:p>
            <w:pPr>
              <w:pStyle w:val="17"/>
              <w:tabs>
                <w:tab w:val="left" w:pos="6762"/>
              </w:tabs>
              <w:spacing w:line="540" w:lineRule="exact"/>
              <w:ind w:firstLineChars="200"/>
              <w:rPr>
                <w:bCs/>
              </w:rPr>
            </w:pPr>
            <w:r>
              <w:t>（2）</w:t>
            </w:r>
            <w:r>
              <w:rPr>
                <w:bCs/>
              </w:rPr>
              <w:t>污水</w:t>
            </w:r>
          </w:p>
          <w:p>
            <w:pPr>
              <w:pStyle w:val="17"/>
              <w:spacing w:line="540" w:lineRule="exact"/>
              <w:ind w:firstLineChars="200"/>
              <w:rPr>
                <w:bCs/>
              </w:rPr>
            </w:pPr>
            <w:r>
              <w:rPr>
                <w:bCs/>
              </w:rPr>
              <w:t>本工程运行期间输电线路无废水产生。</w:t>
            </w:r>
          </w:p>
          <w:p>
            <w:pPr>
              <w:pStyle w:val="17"/>
              <w:tabs>
                <w:tab w:val="left" w:pos="6762"/>
              </w:tabs>
              <w:spacing w:line="540" w:lineRule="exact"/>
              <w:ind w:firstLineChars="200"/>
              <w:rPr>
                <w:bCs/>
              </w:rPr>
            </w:pPr>
            <w:r>
              <w:rPr>
                <w:bCs/>
              </w:rPr>
              <w:t>（3）噪声</w:t>
            </w:r>
          </w:p>
          <w:p>
            <w:pPr>
              <w:pStyle w:val="17"/>
              <w:tabs>
                <w:tab w:val="left" w:pos="6762"/>
              </w:tabs>
              <w:spacing w:line="540" w:lineRule="exact"/>
              <w:ind w:firstLineChars="200"/>
              <w:rPr>
                <w:bCs/>
              </w:rPr>
            </w:pPr>
            <w:r>
              <w:rPr>
                <w:bCs/>
              </w:rPr>
              <w:t>输电线路电晕噪声，等效连续A声级低于45dB(A)。</w:t>
            </w:r>
          </w:p>
          <w:p>
            <w:pPr>
              <w:spacing w:line="480" w:lineRule="exact"/>
              <w:ind w:firstLine="480" w:firstLineChars="200"/>
              <w:rPr>
                <w:b/>
                <w:sz w:val="24"/>
                <w:szCs w:val="28"/>
              </w:rPr>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p>
            <w:pPr>
              <w:pStyle w:val="17"/>
              <w:spacing w:line="480" w:lineRule="exact"/>
              <w:ind w:firstLine="0"/>
            </w:pPr>
          </w:p>
        </w:tc>
      </w:tr>
    </w:tbl>
    <w:p>
      <w:pPr>
        <w:pStyle w:val="2"/>
        <w:rPr>
          <w:rFonts w:ascii="Times New Roman"/>
        </w:rPr>
      </w:pPr>
      <w:r>
        <w:rPr>
          <w:rFonts w:ascii="Times New Roman"/>
        </w:rPr>
        <w:t>项目主要污染物产生及预计排放情况</w:t>
      </w:r>
    </w:p>
    <w:tbl>
      <w:tblPr>
        <w:tblStyle w:val="43"/>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829"/>
        <w:gridCol w:w="1147"/>
        <w:gridCol w:w="1417"/>
        <w:gridCol w:w="184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0" w:hRule="atLeast"/>
        </w:trPr>
        <w:tc>
          <w:tcPr>
            <w:tcW w:w="1277" w:type="dxa"/>
            <w:tcBorders>
              <w:tl2br w:val="single" w:color="auto" w:sz="4" w:space="0"/>
            </w:tcBorders>
            <w:noWrap w:val="0"/>
            <w:vAlign w:val="center"/>
          </w:tcPr>
          <w:p>
            <w:pPr>
              <w:tabs>
                <w:tab w:val="left" w:pos="4425"/>
              </w:tabs>
              <w:ind w:firstLine="240" w:firstLineChars="100"/>
              <w:jc w:val="center"/>
              <w:rPr>
                <w:sz w:val="24"/>
              </w:rPr>
            </w:pPr>
            <w:r>
              <w:rPr>
                <w:sz w:val="24"/>
              </w:rPr>
              <w:t>内容</w:t>
            </w:r>
          </w:p>
          <w:p>
            <w:pPr>
              <w:tabs>
                <w:tab w:val="left" w:pos="4425"/>
              </w:tabs>
              <w:ind w:firstLine="240" w:firstLineChars="100"/>
              <w:jc w:val="center"/>
              <w:rPr>
                <w:sz w:val="24"/>
              </w:rPr>
            </w:pPr>
          </w:p>
          <w:p>
            <w:pPr>
              <w:tabs>
                <w:tab w:val="left" w:pos="4425"/>
              </w:tabs>
              <w:rPr>
                <w:sz w:val="24"/>
              </w:rPr>
            </w:pPr>
            <w:r>
              <w:rPr>
                <w:sz w:val="24"/>
              </w:rPr>
              <w:t>类型</w:t>
            </w:r>
          </w:p>
        </w:tc>
        <w:tc>
          <w:tcPr>
            <w:tcW w:w="1829" w:type="dxa"/>
            <w:noWrap w:val="0"/>
            <w:vAlign w:val="center"/>
          </w:tcPr>
          <w:p>
            <w:pPr>
              <w:tabs>
                <w:tab w:val="left" w:pos="4425"/>
              </w:tabs>
              <w:jc w:val="center"/>
              <w:rPr>
                <w:sz w:val="24"/>
              </w:rPr>
            </w:pPr>
            <w:r>
              <w:rPr>
                <w:sz w:val="24"/>
              </w:rPr>
              <w:t>排放源(编号)</w:t>
            </w:r>
          </w:p>
        </w:tc>
        <w:tc>
          <w:tcPr>
            <w:tcW w:w="2564" w:type="dxa"/>
            <w:gridSpan w:val="2"/>
            <w:noWrap w:val="0"/>
            <w:vAlign w:val="center"/>
          </w:tcPr>
          <w:p>
            <w:pPr>
              <w:tabs>
                <w:tab w:val="left" w:pos="4425"/>
              </w:tabs>
              <w:jc w:val="center"/>
              <w:rPr>
                <w:sz w:val="24"/>
              </w:rPr>
            </w:pPr>
            <w:r>
              <w:rPr>
                <w:sz w:val="24"/>
              </w:rPr>
              <w:t>污染物名称</w:t>
            </w:r>
          </w:p>
        </w:tc>
        <w:tc>
          <w:tcPr>
            <w:tcW w:w="1843" w:type="dxa"/>
            <w:noWrap w:val="0"/>
            <w:vAlign w:val="center"/>
          </w:tcPr>
          <w:p>
            <w:pPr>
              <w:tabs>
                <w:tab w:val="left" w:pos="4425"/>
              </w:tabs>
              <w:ind w:left="240" w:hanging="240" w:hangingChars="100"/>
              <w:jc w:val="center"/>
              <w:rPr>
                <w:sz w:val="24"/>
              </w:rPr>
            </w:pPr>
            <w:r>
              <w:rPr>
                <w:sz w:val="24"/>
              </w:rPr>
              <w:t>处理前产生浓度及产生量(单位)</w:t>
            </w:r>
          </w:p>
        </w:tc>
        <w:tc>
          <w:tcPr>
            <w:tcW w:w="1559" w:type="dxa"/>
            <w:noWrap w:val="0"/>
            <w:vAlign w:val="center"/>
          </w:tcPr>
          <w:p>
            <w:pPr>
              <w:tabs>
                <w:tab w:val="left" w:pos="4425"/>
              </w:tabs>
              <w:ind w:left="29" w:hanging="28" w:hangingChars="12"/>
              <w:jc w:val="center"/>
              <w:rPr>
                <w:sz w:val="24"/>
              </w:rPr>
            </w:pPr>
            <w:r>
              <w:rPr>
                <w:sz w:val="24"/>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6" w:hRule="atLeast"/>
        </w:trPr>
        <w:tc>
          <w:tcPr>
            <w:tcW w:w="1277" w:type="dxa"/>
            <w:vMerge w:val="restart"/>
            <w:noWrap w:val="0"/>
            <w:vAlign w:val="center"/>
          </w:tcPr>
          <w:p>
            <w:pPr>
              <w:tabs>
                <w:tab w:val="left" w:pos="4425"/>
              </w:tabs>
              <w:jc w:val="center"/>
              <w:rPr>
                <w:sz w:val="24"/>
              </w:rPr>
            </w:pPr>
            <w:r>
              <w:rPr>
                <w:sz w:val="24"/>
              </w:rPr>
              <w:t>大</w:t>
            </w:r>
          </w:p>
          <w:p>
            <w:pPr>
              <w:tabs>
                <w:tab w:val="left" w:pos="4425"/>
              </w:tabs>
              <w:jc w:val="center"/>
              <w:rPr>
                <w:sz w:val="24"/>
              </w:rPr>
            </w:pPr>
            <w:r>
              <w:rPr>
                <w:sz w:val="24"/>
              </w:rPr>
              <w:t>气</w:t>
            </w:r>
          </w:p>
          <w:p>
            <w:pPr>
              <w:tabs>
                <w:tab w:val="left" w:pos="4425"/>
              </w:tabs>
              <w:jc w:val="center"/>
              <w:rPr>
                <w:sz w:val="24"/>
              </w:rPr>
            </w:pPr>
            <w:r>
              <w:rPr>
                <w:sz w:val="24"/>
              </w:rPr>
              <w:t>污</w:t>
            </w:r>
          </w:p>
          <w:p>
            <w:pPr>
              <w:tabs>
                <w:tab w:val="left" w:pos="4425"/>
              </w:tabs>
              <w:jc w:val="center"/>
              <w:rPr>
                <w:sz w:val="24"/>
              </w:rPr>
            </w:pPr>
            <w:r>
              <w:rPr>
                <w:sz w:val="24"/>
              </w:rPr>
              <w:t>染</w:t>
            </w:r>
          </w:p>
          <w:p>
            <w:pPr>
              <w:tabs>
                <w:tab w:val="left" w:pos="4425"/>
              </w:tabs>
              <w:jc w:val="center"/>
              <w:rPr>
                <w:sz w:val="24"/>
              </w:rPr>
            </w:pPr>
            <w:r>
              <w:rPr>
                <w:sz w:val="24"/>
              </w:rPr>
              <w:t>物</w:t>
            </w:r>
          </w:p>
        </w:tc>
        <w:tc>
          <w:tcPr>
            <w:tcW w:w="1829" w:type="dxa"/>
            <w:vMerge w:val="restart"/>
            <w:noWrap w:val="0"/>
            <w:vAlign w:val="center"/>
          </w:tcPr>
          <w:p>
            <w:pPr>
              <w:tabs>
                <w:tab w:val="left" w:pos="4425"/>
              </w:tabs>
              <w:ind w:firstLine="120" w:firstLineChars="50"/>
              <w:jc w:val="center"/>
              <w:rPr>
                <w:sz w:val="24"/>
              </w:rPr>
            </w:pPr>
            <w:r>
              <w:rPr>
                <w:sz w:val="24"/>
              </w:rPr>
              <w:t>扬尘、建筑机械</w:t>
            </w:r>
          </w:p>
        </w:tc>
        <w:tc>
          <w:tcPr>
            <w:tcW w:w="1147" w:type="dxa"/>
            <w:tcBorders>
              <w:bottom w:val="single" w:color="auto" w:sz="4" w:space="0"/>
            </w:tcBorders>
            <w:noWrap w:val="0"/>
            <w:vAlign w:val="center"/>
          </w:tcPr>
          <w:p>
            <w:pPr>
              <w:tabs>
                <w:tab w:val="left" w:pos="4425"/>
              </w:tabs>
              <w:jc w:val="center"/>
              <w:rPr>
                <w:sz w:val="24"/>
              </w:rPr>
            </w:pPr>
            <w:r>
              <w:rPr>
                <w:sz w:val="24"/>
              </w:rPr>
              <w:t>施工期</w:t>
            </w:r>
          </w:p>
        </w:tc>
        <w:tc>
          <w:tcPr>
            <w:tcW w:w="1417" w:type="dxa"/>
            <w:tcBorders>
              <w:bottom w:val="single" w:color="auto" w:sz="4" w:space="0"/>
            </w:tcBorders>
            <w:noWrap w:val="0"/>
            <w:vAlign w:val="center"/>
          </w:tcPr>
          <w:p>
            <w:pPr>
              <w:tabs>
                <w:tab w:val="left" w:pos="4425"/>
              </w:tabs>
              <w:jc w:val="center"/>
              <w:rPr>
                <w:sz w:val="24"/>
              </w:rPr>
            </w:pPr>
            <w:r>
              <w:rPr>
                <w:rFonts w:hint="eastAsia"/>
                <w:sz w:val="24"/>
              </w:rPr>
              <w:t>粉尘</w:t>
            </w:r>
          </w:p>
        </w:tc>
        <w:tc>
          <w:tcPr>
            <w:tcW w:w="1843" w:type="dxa"/>
            <w:tcBorders>
              <w:bottom w:val="single" w:color="auto" w:sz="4" w:space="0"/>
            </w:tcBorders>
            <w:noWrap w:val="0"/>
            <w:vAlign w:val="center"/>
          </w:tcPr>
          <w:p>
            <w:pPr>
              <w:jc w:val="center"/>
              <w:rPr>
                <w:sz w:val="24"/>
              </w:rPr>
            </w:pPr>
            <w:r>
              <w:rPr>
                <w:sz w:val="24"/>
              </w:rPr>
              <w:t>少量</w:t>
            </w:r>
          </w:p>
        </w:tc>
        <w:tc>
          <w:tcPr>
            <w:tcW w:w="1559" w:type="dxa"/>
            <w:tcBorders>
              <w:bottom w:val="single" w:color="auto" w:sz="4" w:space="0"/>
            </w:tcBorders>
            <w:noWrap w:val="0"/>
            <w:vAlign w:val="center"/>
          </w:tcPr>
          <w:p>
            <w:pPr>
              <w:tabs>
                <w:tab w:val="left" w:pos="4425"/>
              </w:tabs>
              <w:jc w:val="center"/>
              <w:rPr>
                <w:sz w:val="24"/>
              </w:rPr>
            </w:pPr>
            <w:r>
              <w:rPr>
                <w:sz w:val="24"/>
              </w:rPr>
              <w:t xml:space="preserve"> </w:t>
            </w:r>
            <w:r>
              <w:rPr>
                <w:sz w:val="24"/>
              </w:rPr>
              <w:softHyphen/>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1" w:hRule="atLeast"/>
        </w:trPr>
        <w:tc>
          <w:tcPr>
            <w:tcW w:w="1277" w:type="dxa"/>
            <w:vMerge w:val="continue"/>
            <w:tcBorders>
              <w:bottom w:val="single" w:color="auto" w:sz="4" w:space="0"/>
            </w:tcBorders>
            <w:noWrap w:val="0"/>
            <w:vAlign w:val="center"/>
          </w:tcPr>
          <w:p>
            <w:pPr>
              <w:tabs>
                <w:tab w:val="left" w:pos="4425"/>
              </w:tabs>
              <w:jc w:val="center"/>
              <w:rPr>
                <w:sz w:val="24"/>
              </w:rPr>
            </w:pPr>
          </w:p>
        </w:tc>
        <w:tc>
          <w:tcPr>
            <w:tcW w:w="1829" w:type="dxa"/>
            <w:vMerge w:val="continue"/>
            <w:tcBorders>
              <w:bottom w:val="single" w:color="auto" w:sz="4" w:space="0"/>
            </w:tcBorders>
            <w:noWrap w:val="0"/>
            <w:vAlign w:val="center"/>
          </w:tcPr>
          <w:p>
            <w:pPr>
              <w:tabs>
                <w:tab w:val="left" w:pos="4425"/>
              </w:tabs>
              <w:jc w:val="center"/>
              <w:rPr>
                <w:sz w:val="24"/>
              </w:rPr>
            </w:pPr>
          </w:p>
        </w:tc>
        <w:tc>
          <w:tcPr>
            <w:tcW w:w="1147" w:type="dxa"/>
            <w:tcBorders>
              <w:bottom w:val="single" w:color="auto" w:sz="4" w:space="0"/>
            </w:tcBorders>
            <w:noWrap w:val="0"/>
            <w:vAlign w:val="center"/>
          </w:tcPr>
          <w:p>
            <w:pPr>
              <w:tabs>
                <w:tab w:val="left" w:pos="4425"/>
              </w:tabs>
              <w:jc w:val="center"/>
              <w:rPr>
                <w:sz w:val="24"/>
              </w:rPr>
            </w:pPr>
            <w:r>
              <w:rPr>
                <w:sz w:val="24"/>
              </w:rPr>
              <w:t>运营期</w:t>
            </w:r>
          </w:p>
        </w:tc>
        <w:tc>
          <w:tcPr>
            <w:tcW w:w="1417" w:type="dxa"/>
            <w:tcBorders>
              <w:bottom w:val="single" w:color="auto" w:sz="4" w:space="0"/>
            </w:tcBorders>
            <w:noWrap w:val="0"/>
            <w:vAlign w:val="center"/>
          </w:tcPr>
          <w:p>
            <w:pPr>
              <w:tabs>
                <w:tab w:val="left" w:pos="4425"/>
              </w:tabs>
              <w:jc w:val="center"/>
              <w:rPr>
                <w:sz w:val="24"/>
              </w:rPr>
            </w:pPr>
            <w:r>
              <w:rPr>
                <w:sz w:val="24"/>
              </w:rPr>
              <w:t>无</w:t>
            </w:r>
          </w:p>
        </w:tc>
        <w:tc>
          <w:tcPr>
            <w:tcW w:w="1843" w:type="dxa"/>
            <w:tcBorders>
              <w:bottom w:val="single" w:color="auto" w:sz="4" w:space="0"/>
            </w:tcBorders>
            <w:noWrap w:val="0"/>
            <w:vAlign w:val="center"/>
          </w:tcPr>
          <w:p>
            <w:pPr>
              <w:tabs>
                <w:tab w:val="left" w:pos="4425"/>
              </w:tabs>
              <w:jc w:val="center"/>
              <w:rPr>
                <w:sz w:val="24"/>
              </w:rPr>
            </w:pPr>
            <w:r>
              <w:rPr>
                <w:sz w:val="24"/>
              </w:rPr>
              <w:t>无</w:t>
            </w:r>
          </w:p>
        </w:tc>
        <w:tc>
          <w:tcPr>
            <w:tcW w:w="1559" w:type="dxa"/>
            <w:tcBorders>
              <w:bottom w:val="single" w:color="auto" w:sz="4" w:space="0"/>
            </w:tcBorders>
            <w:noWrap w:val="0"/>
            <w:vAlign w:val="center"/>
          </w:tcPr>
          <w:p>
            <w:pPr>
              <w:tabs>
                <w:tab w:val="left" w:pos="4425"/>
              </w:tabs>
              <w:jc w:val="center"/>
              <w:rPr>
                <w:sz w:val="24"/>
              </w:rPr>
            </w:pPr>
            <w:r>
              <w:rPr>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7" w:hRule="atLeast"/>
        </w:trPr>
        <w:tc>
          <w:tcPr>
            <w:tcW w:w="1277" w:type="dxa"/>
            <w:vMerge w:val="restart"/>
            <w:noWrap w:val="0"/>
            <w:vAlign w:val="center"/>
          </w:tcPr>
          <w:p>
            <w:pPr>
              <w:tabs>
                <w:tab w:val="left" w:pos="4425"/>
              </w:tabs>
              <w:jc w:val="center"/>
              <w:rPr>
                <w:sz w:val="24"/>
              </w:rPr>
            </w:pPr>
            <w:r>
              <w:rPr>
                <w:sz w:val="24"/>
              </w:rPr>
              <w:t>水</w:t>
            </w:r>
          </w:p>
          <w:p>
            <w:pPr>
              <w:tabs>
                <w:tab w:val="left" w:pos="4425"/>
              </w:tabs>
              <w:jc w:val="center"/>
              <w:rPr>
                <w:sz w:val="24"/>
              </w:rPr>
            </w:pPr>
            <w:r>
              <w:rPr>
                <w:sz w:val="24"/>
              </w:rPr>
              <w:t>污</w:t>
            </w:r>
          </w:p>
          <w:p>
            <w:pPr>
              <w:tabs>
                <w:tab w:val="left" w:pos="4425"/>
              </w:tabs>
              <w:jc w:val="center"/>
              <w:rPr>
                <w:sz w:val="24"/>
              </w:rPr>
            </w:pPr>
            <w:r>
              <w:rPr>
                <w:sz w:val="24"/>
              </w:rPr>
              <w:t>染</w:t>
            </w:r>
          </w:p>
          <w:p>
            <w:pPr>
              <w:tabs>
                <w:tab w:val="left" w:pos="4425"/>
              </w:tabs>
              <w:jc w:val="center"/>
              <w:rPr>
                <w:sz w:val="24"/>
              </w:rPr>
            </w:pPr>
            <w:r>
              <w:rPr>
                <w:sz w:val="24"/>
              </w:rPr>
              <w:t>物</w:t>
            </w:r>
          </w:p>
        </w:tc>
        <w:tc>
          <w:tcPr>
            <w:tcW w:w="1829" w:type="dxa"/>
            <w:vMerge w:val="restart"/>
            <w:noWrap w:val="0"/>
            <w:vAlign w:val="center"/>
          </w:tcPr>
          <w:p>
            <w:pPr>
              <w:tabs>
                <w:tab w:val="left" w:pos="4425"/>
              </w:tabs>
              <w:ind w:firstLine="120" w:firstLineChars="50"/>
              <w:jc w:val="center"/>
              <w:rPr>
                <w:sz w:val="24"/>
              </w:rPr>
            </w:pPr>
            <w:r>
              <w:rPr>
                <w:sz w:val="24"/>
              </w:rPr>
              <w:t>生活污水</w:t>
            </w:r>
          </w:p>
        </w:tc>
        <w:tc>
          <w:tcPr>
            <w:tcW w:w="1147" w:type="dxa"/>
            <w:noWrap w:val="0"/>
            <w:vAlign w:val="center"/>
          </w:tcPr>
          <w:p>
            <w:pPr>
              <w:tabs>
                <w:tab w:val="left" w:pos="4425"/>
              </w:tabs>
              <w:jc w:val="center"/>
              <w:rPr>
                <w:sz w:val="24"/>
              </w:rPr>
            </w:pPr>
            <w:r>
              <w:rPr>
                <w:sz w:val="24"/>
              </w:rPr>
              <w:t>施工期</w:t>
            </w:r>
          </w:p>
        </w:tc>
        <w:tc>
          <w:tcPr>
            <w:tcW w:w="1417" w:type="dxa"/>
            <w:noWrap w:val="0"/>
            <w:vAlign w:val="center"/>
          </w:tcPr>
          <w:p>
            <w:pPr>
              <w:spacing w:line="360" w:lineRule="auto"/>
              <w:jc w:val="center"/>
              <w:rPr>
                <w:sz w:val="24"/>
              </w:rPr>
            </w:pPr>
            <w:r>
              <w:rPr>
                <w:sz w:val="24"/>
              </w:rPr>
              <w:t>SS</w:t>
            </w:r>
          </w:p>
          <w:p>
            <w:pPr>
              <w:spacing w:line="360" w:lineRule="auto"/>
              <w:jc w:val="center"/>
              <w:rPr>
                <w:sz w:val="24"/>
              </w:rPr>
            </w:pPr>
            <w:r>
              <w:rPr>
                <w:sz w:val="24"/>
              </w:rPr>
              <w:t>NH</w:t>
            </w:r>
            <w:r>
              <w:rPr>
                <w:sz w:val="24"/>
                <w:vertAlign w:val="subscript"/>
              </w:rPr>
              <w:t>3</w:t>
            </w:r>
            <w:r>
              <w:rPr>
                <w:sz w:val="24"/>
              </w:rPr>
              <w:t>-N</w:t>
            </w:r>
          </w:p>
          <w:p>
            <w:pPr>
              <w:tabs>
                <w:tab w:val="left" w:pos="4425"/>
              </w:tabs>
              <w:jc w:val="center"/>
              <w:rPr>
                <w:sz w:val="24"/>
              </w:rPr>
            </w:pPr>
            <w:r>
              <w:rPr>
                <w:sz w:val="24"/>
              </w:rPr>
              <w:t>COD</w:t>
            </w:r>
          </w:p>
        </w:tc>
        <w:tc>
          <w:tcPr>
            <w:tcW w:w="1843" w:type="dxa"/>
            <w:noWrap w:val="0"/>
            <w:vAlign w:val="center"/>
          </w:tcPr>
          <w:p>
            <w:pPr>
              <w:jc w:val="center"/>
              <w:rPr>
                <w:sz w:val="24"/>
              </w:rPr>
            </w:pPr>
            <w:r>
              <w:rPr>
                <w:sz w:val="24"/>
              </w:rPr>
              <w:t>少量</w:t>
            </w:r>
          </w:p>
        </w:tc>
        <w:tc>
          <w:tcPr>
            <w:tcW w:w="1559" w:type="dxa"/>
            <w:noWrap w:val="0"/>
            <w:vAlign w:val="center"/>
          </w:tcPr>
          <w:p>
            <w:pPr>
              <w:jc w:val="center"/>
              <w:rPr>
                <w:sz w:val="24"/>
              </w:rPr>
            </w:pPr>
            <w:r>
              <w:rPr>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6" w:hRule="atLeast"/>
        </w:trPr>
        <w:tc>
          <w:tcPr>
            <w:tcW w:w="1277" w:type="dxa"/>
            <w:vMerge w:val="continue"/>
            <w:noWrap w:val="0"/>
            <w:vAlign w:val="center"/>
          </w:tcPr>
          <w:p>
            <w:pPr>
              <w:tabs>
                <w:tab w:val="left" w:pos="4425"/>
              </w:tabs>
              <w:jc w:val="center"/>
              <w:rPr>
                <w:sz w:val="24"/>
              </w:rPr>
            </w:pPr>
          </w:p>
        </w:tc>
        <w:tc>
          <w:tcPr>
            <w:tcW w:w="1829" w:type="dxa"/>
            <w:vMerge w:val="continue"/>
            <w:noWrap w:val="0"/>
            <w:vAlign w:val="center"/>
          </w:tcPr>
          <w:p>
            <w:pPr>
              <w:tabs>
                <w:tab w:val="left" w:pos="4425"/>
              </w:tabs>
              <w:ind w:firstLine="120" w:firstLineChars="50"/>
              <w:rPr>
                <w:sz w:val="24"/>
              </w:rPr>
            </w:pPr>
          </w:p>
        </w:tc>
        <w:tc>
          <w:tcPr>
            <w:tcW w:w="1147" w:type="dxa"/>
            <w:noWrap w:val="0"/>
            <w:vAlign w:val="center"/>
          </w:tcPr>
          <w:p>
            <w:pPr>
              <w:tabs>
                <w:tab w:val="left" w:pos="4425"/>
              </w:tabs>
              <w:jc w:val="center"/>
              <w:rPr>
                <w:sz w:val="24"/>
              </w:rPr>
            </w:pPr>
            <w:r>
              <w:rPr>
                <w:sz w:val="24"/>
              </w:rPr>
              <w:t>运营期</w:t>
            </w:r>
          </w:p>
        </w:tc>
        <w:tc>
          <w:tcPr>
            <w:tcW w:w="1417" w:type="dxa"/>
            <w:noWrap w:val="0"/>
            <w:vAlign w:val="center"/>
          </w:tcPr>
          <w:p>
            <w:pPr>
              <w:tabs>
                <w:tab w:val="left" w:pos="4425"/>
              </w:tabs>
              <w:jc w:val="center"/>
              <w:rPr>
                <w:sz w:val="24"/>
              </w:rPr>
            </w:pPr>
            <w:r>
              <w:rPr>
                <w:sz w:val="24"/>
              </w:rPr>
              <w:t>无</w:t>
            </w:r>
          </w:p>
        </w:tc>
        <w:tc>
          <w:tcPr>
            <w:tcW w:w="1843" w:type="dxa"/>
            <w:noWrap w:val="0"/>
            <w:vAlign w:val="center"/>
          </w:tcPr>
          <w:p>
            <w:pPr>
              <w:jc w:val="center"/>
              <w:rPr>
                <w:sz w:val="24"/>
              </w:rPr>
            </w:pPr>
            <w:r>
              <w:rPr>
                <w:sz w:val="24"/>
              </w:rPr>
              <w:t>无</w:t>
            </w:r>
          </w:p>
        </w:tc>
        <w:tc>
          <w:tcPr>
            <w:tcW w:w="1559" w:type="dxa"/>
            <w:noWrap w:val="0"/>
            <w:vAlign w:val="center"/>
          </w:tcPr>
          <w:p>
            <w:pPr>
              <w:jc w:val="center"/>
              <w:rPr>
                <w:sz w:val="24"/>
              </w:rPr>
            </w:pPr>
            <w:r>
              <w:rPr>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atLeast"/>
        </w:trPr>
        <w:tc>
          <w:tcPr>
            <w:tcW w:w="1277" w:type="dxa"/>
            <w:vMerge w:val="continue"/>
            <w:noWrap w:val="0"/>
            <w:vAlign w:val="center"/>
          </w:tcPr>
          <w:p>
            <w:pPr>
              <w:tabs>
                <w:tab w:val="left" w:pos="4425"/>
              </w:tabs>
              <w:jc w:val="center"/>
              <w:rPr>
                <w:sz w:val="24"/>
              </w:rPr>
            </w:pPr>
          </w:p>
        </w:tc>
        <w:tc>
          <w:tcPr>
            <w:tcW w:w="1829" w:type="dxa"/>
            <w:vMerge w:val="restart"/>
            <w:noWrap w:val="0"/>
            <w:vAlign w:val="center"/>
          </w:tcPr>
          <w:p>
            <w:pPr>
              <w:tabs>
                <w:tab w:val="left" w:pos="4425"/>
              </w:tabs>
              <w:ind w:firstLine="120" w:firstLineChars="50"/>
              <w:jc w:val="center"/>
              <w:rPr>
                <w:sz w:val="24"/>
              </w:rPr>
            </w:pPr>
            <w:r>
              <w:rPr>
                <w:sz w:val="24"/>
              </w:rPr>
              <w:t>生产废水</w:t>
            </w:r>
          </w:p>
        </w:tc>
        <w:tc>
          <w:tcPr>
            <w:tcW w:w="1147" w:type="dxa"/>
            <w:noWrap w:val="0"/>
            <w:vAlign w:val="center"/>
          </w:tcPr>
          <w:p>
            <w:pPr>
              <w:tabs>
                <w:tab w:val="left" w:pos="4425"/>
              </w:tabs>
              <w:jc w:val="center"/>
              <w:rPr>
                <w:sz w:val="24"/>
              </w:rPr>
            </w:pPr>
            <w:r>
              <w:rPr>
                <w:sz w:val="24"/>
              </w:rPr>
              <w:t>施工期</w:t>
            </w:r>
          </w:p>
        </w:tc>
        <w:tc>
          <w:tcPr>
            <w:tcW w:w="1417" w:type="dxa"/>
            <w:noWrap w:val="0"/>
            <w:vAlign w:val="center"/>
          </w:tcPr>
          <w:p>
            <w:pPr>
              <w:tabs>
                <w:tab w:val="left" w:pos="4425"/>
              </w:tabs>
              <w:jc w:val="center"/>
              <w:rPr>
                <w:sz w:val="24"/>
              </w:rPr>
            </w:pPr>
            <w:r>
              <w:rPr>
                <w:sz w:val="24"/>
              </w:rPr>
              <w:t>无</w:t>
            </w:r>
          </w:p>
        </w:tc>
        <w:tc>
          <w:tcPr>
            <w:tcW w:w="1843" w:type="dxa"/>
            <w:noWrap w:val="0"/>
            <w:vAlign w:val="center"/>
          </w:tcPr>
          <w:p>
            <w:pPr>
              <w:tabs>
                <w:tab w:val="left" w:pos="4425"/>
              </w:tabs>
              <w:jc w:val="center"/>
              <w:rPr>
                <w:sz w:val="24"/>
              </w:rPr>
            </w:pPr>
            <w:r>
              <w:rPr>
                <w:sz w:val="24"/>
              </w:rPr>
              <w:t>无</w:t>
            </w:r>
          </w:p>
        </w:tc>
        <w:tc>
          <w:tcPr>
            <w:tcW w:w="1559" w:type="dxa"/>
            <w:noWrap w:val="0"/>
            <w:vAlign w:val="center"/>
          </w:tcPr>
          <w:p>
            <w:pPr>
              <w:jc w:val="center"/>
              <w:rPr>
                <w:sz w:val="24"/>
              </w:rPr>
            </w:pPr>
            <w:r>
              <w:rPr>
                <w:sz w:val="24"/>
              </w:rPr>
              <w:softHyphen/>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6" w:hRule="atLeast"/>
        </w:trPr>
        <w:tc>
          <w:tcPr>
            <w:tcW w:w="1277" w:type="dxa"/>
            <w:vMerge w:val="continue"/>
            <w:noWrap w:val="0"/>
            <w:vAlign w:val="center"/>
          </w:tcPr>
          <w:p>
            <w:pPr>
              <w:tabs>
                <w:tab w:val="left" w:pos="4425"/>
              </w:tabs>
              <w:jc w:val="center"/>
              <w:rPr>
                <w:sz w:val="24"/>
              </w:rPr>
            </w:pPr>
          </w:p>
        </w:tc>
        <w:tc>
          <w:tcPr>
            <w:tcW w:w="1829" w:type="dxa"/>
            <w:vMerge w:val="continue"/>
            <w:noWrap w:val="0"/>
            <w:vAlign w:val="center"/>
          </w:tcPr>
          <w:p>
            <w:pPr>
              <w:tabs>
                <w:tab w:val="left" w:pos="4425"/>
              </w:tabs>
              <w:ind w:firstLine="120" w:firstLineChars="50"/>
              <w:rPr>
                <w:sz w:val="24"/>
              </w:rPr>
            </w:pPr>
          </w:p>
        </w:tc>
        <w:tc>
          <w:tcPr>
            <w:tcW w:w="1147" w:type="dxa"/>
            <w:noWrap w:val="0"/>
            <w:vAlign w:val="center"/>
          </w:tcPr>
          <w:p>
            <w:pPr>
              <w:tabs>
                <w:tab w:val="left" w:pos="4425"/>
              </w:tabs>
              <w:jc w:val="center"/>
              <w:rPr>
                <w:sz w:val="24"/>
              </w:rPr>
            </w:pPr>
            <w:r>
              <w:rPr>
                <w:sz w:val="24"/>
              </w:rPr>
              <w:t>运营期</w:t>
            </w:r>
          </w:p>
        </w:tc>
        <w:tc>
          <w:tcPr>
            <w:tcW w:w="1417" w:type="dxa"/>
            <w:noWrap w:val="0"/>
            <w:vAlign w:val="center"/>
          </w:tcPr>
          <w:p>
            <w:pPr>
              <w:tabs>
                <w:tab w:val="left" w:pos="4425"/>
              </w:tabs>
              <w:jc w:val="center"/>
              <w:rPr>
                <w:sz w:val="24"/>
              </w:rPr>
            </w:pPr>
            <w:r>
              <w:rPr>
                <w:sz w:val="24"/>
              </w:rPr>
              <w:t>无</w:t>
            </w:r>
          </w:p>
        </w:tc>
        <w:tc>
          <w:tcPr>
            <w:tcW w:w="1843" w:type="dxa"/>
            <w:noWrap w:val="0"/>
            <w:vAlign w:val="center"/>
          </w:tcPr>
          <w:p>
            <w:pPr>
              <w:tabs>
                <w:tab w:val="left" w:pos="4425"/>
              </w:tabs>
              <w:jc w:val="center"/>
              <w:rPr>
                <w:sz w:val="24"/>
              </w:rPr>
            </w:pPr>
            <w:r>
              <w:rPr>
                <w:sz w:val="24"/>
              </w:rPr>
              <w:t>无</w:t>
            </w:r>
          </w:p>
        </w:tc>
        <w:tc>
          <w:tcPr>
            <w:tcW w:w="1559" w:type="dxa"/>
            <w:noWrap w:val="0"/>
            <w:vAlign w:val="center"/>
          </w:tcPr>
          <w:p>
            <w:pPr>
              <w:tabs>
                <w:tab w:val="left" w:pos="4425"/>
              </w:tabs>
              <w:jc w:val="center"/>
              <w:rPr>
                <w:sz w:val="24"/>
              </w:rPr>
            </w:pPr>
            <w:r>
              <w:rPr>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trPr>
        <w:tc>
          <w:tcPr>
            <w:tcW w:w="1277" w:type="dxa"/>
            <w:vMerge w:val="restart"/>
            <w:noWrap w:val="0"/>
            <w:vAlign w:val="center"/>
          </w:tcPr>
          <w:p>
            <w:pPr>
              <w:tabs>
                <w:tab w:val="left" w:pos="4425"/>
              </w:tabs>
              <w:jc w:val="center"/>
              <w:rPr>
                <w:sz w:val="24"/>
              </w:rPr>
            </w:pPr>
            <w:r>
              <w:rPr>
                <w:sz w:val="24"/>
              </w:rPr>
              <w:t>固</w:t>
            </w:r>
          </w:p>
          <w:p>
            <w:pPr>
              <w:tabs>
                <w:tab w:val="left" w:pos="4425"/>
              </w:tabs>
              <w:jc w:val="center"/>
              <w:rPr>
                <w:sz w:val="24"/>
              </w:rPr>
            </w:pPr>
            <w:r>
              <w:rPr>
                <w:sz w:val="24"/>
              </w:rPr>
              <w:t>体</w:t>
            </w:r>
          </w:p>
          <w:p>
            <w:pPr>
              <w:tabs>
                <w:tab w:val="left" w:pos="4425"/>
              </w:tabs>
              <w:jc w:val="center"/>
              <w:rPr>
                <w:sz w:val="24"/>
              </w:rPr>
            </w:pPr>
            <w:r>
              <w:rPr>
                <w:sz w:val="24"/>
              </w:rPr>
              <w:t>废</w:t>
            </w:r>
          </w:p>
          <w:p>
            <w:pPr>
              <w:tabs>
                <w:tab w:val="left" w:pos="4425"/>
              </w:tabs>
              <w:jc w:val="center"/>
              <w:rPr>
                <w:sz w:val="24"/>
              </w:rPr>
            </w:pPr>
            <w:r>
              <w:rPr>
                <w:sz w:val="24"/>
              </w:rPr>
              <w:t>物</w:t>
            </w:r>
          </w:p>
        </w:tc>
        <w:tc>
          <w:tcPr>
            <w:tcW w:w="1829" w:type="dxa"/>
            <w:vMerge w:val="restart"/>
            <w:noWrap w:val="0"/>
            <w:vAlign w:val="center"/>
          </w:tcPr>
          <w:p>
            <w:pPr>
              <w:tabs>
                <w:tab w:val="left" w:pos="4425"/>
              </w:tabs>
              <w:jc w:val="center"/>
              <w:rPr>
                <w:sz w:val="24"/>
              </w:rPr>
            </w:pPr>
            <w:r>
              <w:rPr>
                <w:sz w:val="24"/>
              </w:rPr>
              <w:t>施工弃渣、建筑垃圾</w:t>
            </w:r>
          </w:p>
        </w:tc>
        <w:tc>
          <w:tcPr>
            <w:tcW w:w="1147" w:type="dxa"/>
            <w:noWrap w:val="0"/>
            <w:vAlign w:val="center"/>
          </w:tcPr>
          <w:p>
            <w:pPr>
              <w:tabs>
                <w:tab w:val="left" w:pos="4425"/>
              </w:tabs>
              <w:jc w:val="center"/>
              <w:rPr>
                <w:sz w:val="24"/>
              </w:rPr>
            </w:pPr>
            <w:r>
              <w:rPr>
                <w:sz w:val="24"/>
              </w:rPr>
              <w:t>施工期</w:t>
            </w:r>
          </w:p>
        </w:tc>
        <w:tc>
          <w:tcPr>
            <w:tcW w:w="1417" w:type="dxa"/>
            <w:noWrap w:val="0"/>
            <w:vAlign w:val="center"/>
          </w:tcPr>
          <w:p>
            <w:pPr>
              <w:tabs>
                <w:tab w:val="left" w:pos="4425"/>
              </w:tabs>
              <w:jc w:val="center"/>
              <w:rPr>
                <w:sz w:val="24"/>
              </w:rPr>
            </w:pPr>
            <w:r>
              <w:rPr>
                <w:rFonts w:hint="eastAsia"/>
                <w:sz w:val="24"/>
              </w:rPr>
              <w:t>建筑垃圾、施工弃渣</w:t>
            </w:r>
          </w:p>
        </w:tc>
        <w:tc>
          <w:tcPr>
            <w:tcW w:w="1843" w:type="dxa"/>
            <w:noWrap w:val="0"/>
            <w:vAlign w:val="center"/>
          </w:tcPr>
          <w:p>
            <w:pPr>
              <w:tabs>
                <w:tab w:val="left" w:pos="4425"/>
              </w:tabs>
              <w:jc w:val="center"/>
              <w:rPr>
                <w:sz w:val="24"/>
              </w:rPr>
            </w:pPr>
            <w:r>
              <w:rPr>
                <w:sz w:val="24"/>
              </w:rPr>
              <w:t>少量</w:t>
            </w:r>
          </w:p>
        </w:tc>
        <w:tc>
          <w:tcPr>
            <w:tcW w:w="1559" w:type="dxa"/>
            <w:noWrap w:val="0"/>
            <w:vAlign w:val="center"/>
          </w:tcPr>
          <w:p>
            <w:pPr>
              <w:tabs>
                <w:tab w:val="left" w:pos="4425"/>
              </w:tabs>
              <w:jc w:val="center"/>
              <w:rPr>
                <w:sz w:val="24"/>
              </w:rPr>
            </w:pPr>
            <w:r>
              <w:rPr>
                <w:sz w:val="24"/>
              </w:rPr>
              <w:softHyphen/>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277" w:type="dxa"/>
            <w:vMerge w:val="continue"/>
            <w:noWrap w:val="0"/>
            <w:vAlign w:val="center"/>
          </w:tcPr>
          <w:p>
            <w:pPr>
              <w:tabs>
                <w:tab w:val="left" w:pos="4425"/>
              </w:tabs>
              <w:jc w:val="center"/>
              <w:rPr>
                <w:sz w:val="24"/>
              </w:rPr>
            </w:pPr>
          </w:p>
        </w:tc>
        <w:tc>
          <w:tcPr>
            <w:tcW w:w="1829" w:type="dxa"/>
            <w:vMerge w:val="continue"/>
            <w:noWrap w:val="0"/>
            <w:vAlign w:val="center"/>
          </w:tcPr>
          <w:p>
            <w:pPr>
              <w:tabs>
                <w:tab w:val="left" w:pos="4425"/>
              </w:tabs>
              <w:ind w:firstLine="120" w:firstLineChars="50"/>
              <w:rPr>
                <w:sz w:val="24"/>
              </w:rPr>
            </w:pPr>
          </w:p>
        </w:tc>
        <w:tc>
          <w:tcPr>
            <w:tcW w:w="1147" w:type="dxa"/>
            <w:noWrap w:val="0"/>
            <w:vAlign w:val="center"/>
          </w:tcPr>
          <w:p>
            <w:pPr>
              <w:tabs>
                <w:tab w:val="left" w:pos="4425"/>
              </w:tabs>
              <w:jc w:val="center"/>
              <w:rPr>
                <w:sz w:val="24"/>
              </w:rPr>
            </w:pPr>
            <w:r>
              <w:rPr>
                <w:sz w:val="24"/>
              </w:rPr>
              <w:t>运营期</w:t>
            </w:r>
          </w:p>
        </w:tc>
        <w:tc>
          <w:tcPr>
            <w:tcW w:w="1417" w:type="dxa"/>
            <w:noWrap w:val="0"/>
            <w:vAlign w:val="center"/>
          </w:tcPr>
          <w:p>
            <w:pPr>
              <w:tabs>
                <w:tab w:val="left" w:pos="4425"/>
              </w:tabs>
              <w:jc w:val="center"/>
              <w:rPr>
                <w:sz w:val="24"/>
              </w:rPr>
            </w:pPr>
            <w:r>
              <w:rPr>
                <w:sz w:val="24"/>
              </w:rPr>
              <w:t>无</w:t>
            </w:r>
          </w:p>
        </w:tc>
        <w:tc>
          <w:tcPr>
            <w:tcW w:w="1843" w:type="dxa"/>
            <w:tcBorders>
              <w:bottom w:val="single" w:color="000000" w:sz="4" w:space="0"/>
            </w:tcBorders>
            <w:noWrap w:val="0"/>
            <w:vAlign w:val="center"/>
          </w:tcPr>
          <w:p>
            <w:pPr>
              <w:tabs>
                <w:tab w:val="left" w:pos="4425"/>
              </w:tabs>
              <w:jc w:val="center"/>
              <w:rPr>
                <w:sz w:val="24"/>
              </w:rPr>
            </w:pPr>
            <w:r>
              <w:rPr>
                <w:sz w:val="24"/>
              </w:rPr>
              <w:t>无</w:t>
            </w:r>
          </w:p>
        </w:tc>
        <w:tc>
          <w:tcPr>
            <w:tcW w:w="1559" w:type="dxa"/>
            <w:tcBorders>
              <w:bottom w:val="single" w:color="000000" w:sz="4" w:space="0"/>
            </w:tcBorders>
            <w:noWrap w:val="0"/>
            <w:vAlign w:val="center"/>
          </w:tcPr>
          <w:p>
            <w:pPr>
              <w:tabs>
                <w:tab w:val="left" w:pos="4425"/>
              </w:tabs>
              <w:jc w:val="center"/>
              <w:rPr>
                <w:sz w:val="24"/>
              </w:rPr>
            </w:pPr>
            <w:r>
              <w:rPr>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trPr>
        <w:tc>
          <w:tcPr>
            <w:tcW w:w="1277" w:type="dxa"/>
            <w:vMerge w:val="continue"/>
            <w:noWrap w:val="0"/>
            <w:vAlign w:val="center"/>
          </w:tcPr>
          <w:p>
            <w:pPr>
              <w:tabs>
                <w:tab w:val="left" w:pos="4425"/>
              </w:tabs>
              <w:jc w:val="center"/>
              <w:rPr>
                <w:sz w:val="24"/>
              </w:rPr>
            </w:pPr>
          </w:p>
        </w:tc>
        <w:tc>
          <w:tcPr>
            <w:tcW w:w="1829" w:type="dxa"/>
            <w:vMerge w:val="restart"/>
            <w:noWrap w:val="0"/>
            <w:vAlign w:val="center"/>
          </w:tcPr>
          <w:p>
            <w:pPr>
              <w:tabs>
                <w:tab w:val="left" w:pos="4425"/>
              </w:tabs>
              <w:ind w:firstLine="120" w:firstLineChars="50"/>
              <w:jc w:val="center"/>
              <w:rPr>
                <w:sz w:val="24"/>
              </w:rPr>
            </w:pPr>
            <w:r>
              <w:rPr>
                <w:sz w:val="24"/>
              </w:rPr>
              <w:t>生活垃圾</w:t>
            </w:r>
          </w:p>
        </w:tc>
        <w:tc>
          <w:tcPr>
            <w:tcW w:w="1147" w:type="dxa"/>
            <w:noWrap w:val="0"/>
            <w:vAlign w:val="center"/>
          </w:tcPr>
          <w:p>
            <w:pPr>
              <w:tabs>
                <w:tab w:val="left" w:pos="4425"/>
              </w:tabs>
              <w:jc w:val="center"/>
              <w:rPr>
                <w:sz w:val="24"/>
              </w:rPr>
            </w:pPr>
            <w:r>
              <w:rPr>
                <w:sz w:val="24"/>
              </w:rPr>
              <w:t>施工期</w:t>
            </w:r>
          </w:p>
        </w:tc>
        <w:tc>
          <w:tcPr>
            <w:tcW w:w="1417" w:type="dxa"/>
            <w:noWrap w:val="0"/>
            <w:vAlign w:val="center"/>
          </w:tcPr>
          <w:p>
            <w:pPr>
              <w:tabs>
                <w:tab w:val="left" w:pos="4425"/>
              </w:tabs>
              <w:jc w:val="center"/>
              <w:rPr>
                <w:sz w:val="24"/>
              </w:rPr>
            </w:pPr>
            <w:r>
              <w:rPr>
                <w:rFonts w:hint="eastAsia"/>
                <w:sz w:val="24"/>
              </w:rPr>
              <w:t>生活垃圾</w:t>
            </w:r>
          </w:p>
        </w:tc>
        <w:tc>
          <w:tcPr>
            <w:tcW w:w="1843" w:type="dxa"/>
            <w:noWrap w:val="0"/>
            <w:vAlign w:val="center"/>
          </w:tcPr>
          <w:p>
            <w:pPr>
              <w:tabs>
                <w:tab w:val="left" w:pos="4425"/>
              </w:tabs>
              <w:jc w:val="center"/>
              <w:rPr>
                <w:sz w:val="24"/>
              </w:rPr>
            </w:pPr>
            <w:r>
              <w:rPr>
                <w:sz w:val="24"/>
              </w:rPr>
              <w:t>少量</w:t>
            </w:r>
          </w:p>
        </w:tc>
        <w:tc>
          <w:tcPr>
            <w:tcW w:w="1559" w:type="dxa"/>
            <w:tcBorders>
              <w:bottom w:val="single" w:color="000000" w:sz="4" w:space="0"/>
            </w:tcBorders>
            <w:noWrap w:val="0"/>
            <w:vAlign w:val="center"/>
          </w:tcPr>
          <w:p>
            <w:pPr>
              <w:tabs>
                <w:tab w:val="left" w:pos="4425"/>
              </w:tabs>
              <w:jc w:val="center"/>
              <w:rPr>
                <w:sz w:val="24"/>
              </w:rPr>
            </w:pPr>
            <w:r>
              <w:rPr>
                <w:sz w:val="24"/>
              </w:rPr>
              <w:softHyphen/>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7" w:hRule="atLeast"/>
        </w:trPr>
        <w:tc>
          <w:tcPr>
            <w:tcW w:w="1277" w:type="dxa"/>
            <w:vMerge w:val="continue"/>
            <w:noWrap w:val="0"/>
            <w:vAlign w:val="center"/>
          </w:tcPr>
          <w:p>
            <w:pPr>
              <w:tabs>
                <w:tab w:val="left" w:pos="4425"/>
              </w:tabs>
              <w:jc w:val="center"/>
              <w:rPr>
                <w:sz w:val="24"/>
              </w:rPr>
            </w:pPr>
          </w:p>
        </w:tc>
        <w:tc>
          <w:tcPr>
            <w:tcW w:w="1829" w:type="dxa"/>
            <w:vMerge w:val="continue"/>
            <w:noWrap w:val="0"/>
            <w:vAlign w:val="center"/>
          </w:tcPr>
          <w:p>
            <w:pPr>
              <w:tabs>
                <w:tab w:val="left" w:pos="4425"/>
              </w:tabs>
              <w:ind w:firstLine="120" w:firstLineChars="50"/>
              <w:rPr>
                <w:sz w:val="24"/>
              </w:rPr>
            </w:pPr>
          </w:p>
        </w:tc>
        <w:tc>
          <w:tcPr>
            <w:tcW w:w="1147" w:type="dxa"/>
            <w:noWrap w:val="0"/>
            <w:vAlign w:val="center"/>
          </w:tcPr>
          <w:p>
            <w:pPr>
              <w:tabs>
                <w:tab w:val="left" w:pos="4425"/>
              </w:tabs>
              <w:jc w:val="center"/>
              <w:rPr>
                <w:sz w:val="24"/>
              </w:rPr>
            </w:pPr>
            <w:r>
              <w:rPr>
                <w:sz w:val="24"/>
              </w:rPr>
              <w:t>运营期</w:t>
            </w:r>
          </w:p>
        </w:tc>
        <w:tc>
          <w:tcPr>
            <w:tcW w:w="1417" w:type="dxa"/>
            <w:noWrap w:val="0"/>
            <w:vAlign w:val="center"/>
          </w:tcPr>
          <w:p>
            <w:pPr>
              <w:tabs>
                <w:tab w:val="left" w:pos="4425"/>
              </w:tabs>
              <w:jc w:val="center"/>
              <w:rPr>
                <w:sz w:val="24"/>
              </w:rPr>
            </w:pPr>
            <w:r>
              <w:rPr>
                <w:sz w:val="24"/>
              </w:rPr>
              <w:t>无</w:t>
            </w:r>
          </w:p>
        </w:tc>
        <w:tc>
          <w:tcPr>
            <w:tcW w:w="1843" w:type="dxa"/>
            <w:noWrap w:val="0"/>
            <w:vAlign w:val="center"/>
          </w:tcPr>
          <w:p>
            <w:pPr>
              <w:tabs>
                <w:tab w:val="left" w:pos="4425"/>
              </w:tabs>
              <w:jc w:val="center"/>
              <w:rPr>
                <w:sz w:val="24"/>
              </w:rPr>
            </w:pPr>
            <w:r>
              <w:rPr>
                <w:sz w:val="24"/>
              </w:rPr>
              <w:t>无</w:t>
            </w:r>
          </w:p>
        </w:tc>
        <w:tc>
          <w:tcPr>
            <w:tcW w:w="1559" w:type="dxa"/>
            <w:tcBorders>
              <w:top w:val="single" w:color="000000" w:sz="4" w:space="0"/>
            </w:tcBorders>
            <w:noWrap w:val="0"/>
            <w:vAlign w:val="center"/>
          </w:tcPr>
          <w:p>
            <w:pPr>
              <w:tabs>
                <w:tab w:val="left" w:pos="4425"/>
              </w:tabs>
              <w:jc w:val="center"/>
              <w:rPr>
                <w:sz w:val="24"/>
              </w:rPr>
            </w:pPr>
            <w:r>
              <w:rPr>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trPr>
        <w:tc>
          <w:tcPr>
            <w:tcW w:w="1277" w:type="dxa"/>
            <w:noWrap w:val="0"/>
            <w:vAlign w:val="center"/>
          </w:tcPr>
          <w:p>
            <w:pPr>
              <w:tabs>
                <w:tab w:val="left" w:pos="4425"/>
              </w:tabs>
              <w:jc w:val="center"/>
              <w:rPr>
                <w:sz w:val="24"/>
              </w:rPr>
            </w:pPr>
            <w:r>
              <w:rPr>
                <w:sz w:val="24"/>
              </w:rPr>
              <w:t>噪</w:t>
            </w:r>
          </w:p>
          <w:p>
            <w:pPr>
              <w:tabs>
                <w:tab w:val="left" w:pos="4425"/>
              </w:tabs>
              <w:jc w:val="center"/>
              <w:rPr>
                <w:sz w:val="24"/>
              </w:rPr>
            </w:pPr>
            <w:r>
              <w:rPr>
                <w:sz w:val="24"/>
              </w:rPr>
              <w:t>声</w:t>
            </w:r>
          </w:p>
        </w:tc>
        <w:tc>
          <w:tcPr>
            <w:tcW w:w="7795" w:type="dxa"/>
            <w:gridSpan w:val="5"/>
            <w:noWrap w:val="0"/>
            <w:vAlign w:val="center"/>
          </w:tcPr>
          <w:p>
            <w:pPr>
              <w:rPr>
                <w:sz w:val="24"/>
              </w:rPr>
            </w:pPr>
          </w:p>
          <w:p>
            <w:pPr>
              <w:rPr>
                <w:sz w:val="24"/>
              </w:rPr>
            </w:pPr>
            <w:r>
              <w:rPr>
                <w:sz w:val="24"/>
              </w:rPr>
              <w:t>施工期：运输车辆70～85dB(A)；</w:t>
            </w:r>
          </w:p>
          <w:p>
            <w:pPr>
              <w:ind w:firstLine="960" w:firstLineChars="400"/>
              <w:rPr>
                <w:sz w:val="24"/>
              </w:rPr>
            </w:pPr>
            <w:r>
              <w:rPr>
                <w:sz w:val="24"/>
              </w:rPr>
              <w:t>挖土机70～110dB(A)；</w:t>
            </w:r>
          </w:p>
          <w:p>
            <w:pPr>
              <w:ind w:firstLine="960" w:firstLineChars="400"/>
              <w:rPr>
                <w:sz w:val="24"/>
              </w:rPr>
            </w:pPr>
            <w:r>
              <w:rPr>
                <w:sz w:val="24"/>
              </w:rPr>
              <w:t>牵张机、张力机组70～80dB(A)；</w:t>
            </w:r>
          </w:p>
          <w:p>
            <w:pPr>
              <w:tabs>
                <w:tab w:val="left" w:pos="4425"/>
              </w:tabs>
              <w:rPr>
                <w:sz w:val="24"/>
              </w:rPr>
            </w:pPr>
            <w:r>
              <w:rPr>
                <w:sz w:val="24"/>
              </w:rPr>
              <w:t>运营期：输电线路电晕噪声，等效连续A声级低于45dB(A)。</w:t>
            </w:r>
          </w:p>
          <w:p>
            <w:pPr>
              <w:tabs>
                <w:tab w:val="left" w:pos="4425"/>
              </w:tabs>
              <w:ind w:firstLine="960" w:firstLineChars="400"/>
              <w:jc w:val="left"/>
              <w:rPr>
                <w:sz w:val="24"/>
              </w:rPr>
            </w:pPr>
          </w:p>
          <w:p>
            <w:pPr>
              <w:tabs>
                <w:tab w:val="left" w:pos="4425"/>
              </w:tabs>
              <w:ind w:firstLine="960" w:firstLineChars="40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29" w:hRule="atLeast"/>
        </w:trPr>
        <w:tc>
          <w:tcPr>
            <w:tcW w:w="1277" w:type="dxa"/>
            <w:noWrap w:val="0"/>
            <w:vAlign w:val="center"/>
          </w:tcPr>
          <w:p>
            <w:pPr>
              <w:tabs>
                <w:tab w:val="left" w:pos="4425"/>
              </w:tabs>
              <w:jc w:val="center"/>
              <w:rPr>
                <w:sz w:val="24"/>
              </w:rPr>
            </w:pPr>
            <w:r>
              <w:rPr>
                <w:sz w:val="24"/>
              </w:rPr>
              <w:t>工</w:t>
            </w:r>
          </w:p>
          <w:p>
            <w:pPr>
              <w:tabs>
                <w:tab w:val="left" w:pos="4425"/>
              </w:tabs>
              <w:jc w:val="center"/>
              <w:rPr>
                <w:sz w:val="24"/>
              </w:rPr>
            </w:pPr>
            <w:r>
              <w:rPr>
                <w:sz w:val="24"/>
              </w:rPr>
              <w:t>频</w:t>
            </w:r>
          </w:p>
          <w:p>
            <w:pPr>
              <w:tabs>
                <w:tab w:val="left" w:pos="4425"/>
              </w:tabs>
              <w:jc w:val="center"/>
              <w:rPr>
                <w:sz w:val="24"/>
              </w:rPr>
            </w:pPr>
            <w:r>
              <w:rPr>
                <w:sz w:val="24"/>
              </w:rPr>
              <w:t>电</w:t>
            </w:r>
          </w:p>
          <w:p>
            <w:pPr>
              <w:tabs>
                <w:tab w:val="left" w:pos="4425"/>
              </w:tabs>
              <w:jc w:val="center"/>
              <w:rPr>
                <w:sz w:val="24"/>
              </w:rPr>
            </w:pPr>
            <w:r>
              <w:rPr>
                <w:sz w:val="24"/>
              </w:rPr>
              <w:t>磁</w:t>
            </w:r>
          </w:p>
          <w:p>
            <w:pPr>
              <w:tabs>
                <w:tab w:val="left" w:pos="4425"/>
              </w:tabs>
              <w:jc w:val="center"/>
              <w:rPr>
                <w:sz w:val="24"/>
              </w:rPr>
            </w:pPr>
            <w:r>
              <w:rPr>
                <w:sz w:val="24"/>
              </w:rPr>
              <w:t>场</w:t>
            </w:r>
          </w:p>
        </w:tc>
        <w:tc>
          <w:tcPr>
            <w:tcW w:w="7795" w:type="dxa"/>
            <w:gridSpan w:val="5"/>
            <w:noWrap w:val="0"/>
            <w:vAlign w:val="center"/>
          </w:tcPr>
          <w:p>
            <w:pPr>
              <w:tabs>
                <w:tab w:val="left" w:pos="4425"/>
              </w:tabs>
              <w:jc w:val="center"/>
              <w:rPr>
                <w:sz w:val="24"/>
              </w:rPr>
            </w:pPr>
          </w:p>
          <w:p>
            <w:pPr>
              <w:tabs>
                <w:tab w:val="left" w:pos="4425"/>
              </w:tabs>
              <w:jc w:val="center"/>
              <w:rPr>
                <w:sz w:val="24"/>
              </w:rPr>
            </w:pPr>
          </w:p>
          <w:p>
            <w:pPr>
              <w:tabs>
                <w:tab w:val="left" w:pos="4425"/>
              </w:tabs>
              <w:jc w:val="center"/>
              <w:rPr>
                <w:sz w:val="24"/>
              </w:rPr>
            </w:pPr>
          </w:p>
          <w:p>
            <w:pPr>
              <w:rPr>
                <w:sz w:val="24"/>
              </w:rPr>
            </w:pPr>
            <w:r>
              <w:rPr>
                <w:sz w:val="24"/>
              </w:rPr>
              <w:t>营运期：线路工程工频电场＜4kV/m；</w:t>
            </w:r>
          </w:p>
          <w:p>
            <w:pPr>
              <w:ind w:firstLine="960" w:firstLineChars="400"/>
              <w:rPr>
                <w:sz w:val="24"/>
              </w:rPr>
            </w:pPr>
            <w:r>
              <w:rPr>
                <w:sz w:val="24"/>
              </w:rPr>
              <w:t>线路工程工频磁场＜100μT。</w:t>
            </w:r>
          </w:p>
          <w:p>
            <w:pPr>
              <w:tabs>
                <w:tab w:val="left" w:pos="4425"/>
              </w:tabs>
              <w:jc w:val="center"/>
              <w:rPr>
                <w:sz w:val="24"/>
              </w:rPr>
            </w:pPr>
          </w:p>
          <w:p>
            <w:pPr>
              <w:tabs>
                <w:tab w:val="left" w:pos="4425"/>
              </w:tabs>
              <w:jc w:val="center"/>
              <w:rPr>
                <w:sz w:val="24"/>
              </w:rPr>
            </w:pPr>
          </w:p>
          <w:p>
            <w:pPr>
              <w:tabs>
                <w:tab w:val="left" w:pos="4425"/>
              </w:tabs>
              <w:jc w:val="center"/>
              <w:rPr>
                <w:sz w:val="24"/>
              </w:rPr>
            </w:pPr>
          </w:p>
          <w:p>
            <w:pPr>
              <w:tabs>
                <w:tab w:val="left" w:pos="4425"/>
              </w:tabs>
              <w:jc w:val="center"/>
              <w:rPr>
                <w:sz w:val="24"/>
              </w:rPr>
            </w:pPr>
          </w:p>
          <w:p>
            <w:pPr>
              <w:tabs>
                <w:tab w:val="left" w:pos="4425"/>
              </w:tabs>
              <w:jc w:val="center"/>
              <w:rPr>
                <w:sz w:val="24"/>
              </w:rPr>
            </w:pPr>
          </w:p>
          <w:p>
            <w:pPr>
              <w:tabs>
                <w:tab w:val="left" w:pos="4425"/>
              </w:tabs>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90" w:hRule="atLeast"/>
        </w:trPr>
        <w:tc>
          <w:tcPr>
            <w:tcW w:w="9072" w:type="dxa"/>
            <w:gridSpan w:val="6"/>
            <w:noWrap w:val="0"/>
            <w:vAlign w:val="center"/>
          </w:tcPr>
          <w:p>
            <w:pPr>
              <w:tabs>
                <w:tab w:val="left" w:pos="4425"/>
              </w:tabs>
              <w:spacing w:line="480" w:lineRule="exact"/>
              <w:rPr>
                <w:b/>
                <w:bCs/>
                <w:sz w:val="24"/>
              </w:rPr>
            </w:pPr>
            <w:r>
              <w:rPr>
                <w:b/>
                <w:bCs/>
                <w:sz w:val="24"/>
              </w:rPr>
              <w:t>主要生态影响(不够时可附另页)</w:t>
            </w:r>
          </w:p>
          <w:p>
            <w:pPr>
              <w:tabs>
                <w:tab w:val="left" w:pos="700"/>
              </w:tabs>
              <w:spacing w:line="480" w:lineRule="exact"/>
              <w:ind w:firstLine="480" w:firstLineChars="200"/>
              <w:rPr>
                <w:sz w:val="24"/>
              </w:rPr>
            </w:pPr>
            <w:r>
              <w:rPr>
                <w:sz w:val="24"/>
              </w:rPr>
              <w:t>根据《环境影响评价技术导则 生态影响》（HJ19-2011），生态环境影响评价主要适用于水利、水电、矿业、旅游等自然资源开发利用项目。本工程属于普通的高压输变电工程，线路不涉及自然保护区、风景名胜区等生态敏感区、因此本工程的生态环境评价范围很小，评价工作等级从简，仅进行简单分析。</w:t>
            </w:r>
          </w:p>
          <w:p>
            <w:pPr>
              <w:spacing w:line="480" w:lineRule="exact"/>
              <w:ind w:firstLine="480" w:firstLineChars="200"/>
              <w:rPr>
                <w:bCs/>
                <w:sz w:val="24"/>
              </w:rPr>
            </w:pPr>
            <w:r>
              <w:rPr>
                <w:sz w:val="24"/>
              </w:rPr>
              <w:t>保定西北郊热电送出工程线路全长4.6km，</w:t>
            </w:r>
            <w:r>
              <w:rPr>
                <w:bCs/>
                <w:sz w:val="24"/>
              </w:rPr>
              <w:t>全线双回路铁塔架设</w:t>
            </w:r>
            <w:r>
              <w:rPr>
                <w:sz w:val="24"/>
              </w:rPr>
              <w:t>，全线共需建杆塔21基，</w:t>
            </w:r>
            <w:r>
              <w:rPr>
                <w:snapToGrid w:val="0"/>
                <w:kern w:val="0"/>
                <w:sz w:val="24"/>
              </w:rPr>
              <w:t>其中：双回路耐张塔11基，双回路直线塔10基。</w:t>
            </w:r>
            <w:r>
              <w:rPr>
                <w:sz w:val="24"/>
              </w:rPr>
              <w:t>工程永久占地约为2100m</w:t>
            </w:r>
            <w:r>
              <w:rPr>
                <w:sz w:val="24"/>
                <w:vertAlign w:val="superscript"/>
              </w:rPr>
              <w:t>2</w:t>
            </w:r>
            <w:r>
              <w:rPr>
                <w:bCs/>
                <w:sz w:val="24"/>
              </w:rPr>
              <w:t>。</w:t>
            </w:r>
            <w:r>
              <w:rPr>
                <w:sz w:val="24"/>
              </w:rPr>
              <w:t>沿线为</w:t>
            </w:r>
            <w:r>
              <w:rPr>
                <w:bCs/>
                <w:kern w:val="0"/>
                <w:sz w:val="24"/>
              </w:rPr>
              <w:t>平原地区</w:t>
            </w:r>
            <w:r>
              <w:rPr>
                <w:bCs/>
                <w:sz w:val="24"/>
              </w:rPr>
              <w:t>。</w:t>
            </w:r>
          </w:p>
          <w:p>
            <w:pPr>
              <w:tabs>
                <w:tab w:val="left" w:pos="700"/>
              </w:tabs>
              <w:spacing w:line="480" w:lineRule="exact"/>
              <w:ind w:firstLine="480" w:firstLineChars="200"/>
              <w:rPr>
                <w:snapToGrid w:val="0"/>
                <w:kern w:val="0"/>
                <w:sz w:val="24"/>
              </w:rPr>
            </w:pPr>
            <w:r>
              <w:rPr>
                <w:sz w:val="24"/>
              </w:rPr>
              <w:t>线路沿线为</w:t>
            </w:r>
            <w:r>
              <w:rPr>
                <w:bCs/>
                <w:kern w:val="0"/>
                <w:sz w:val="24"/>
              </w:rPr>
              <w:t>平原地区</w:t>
            </w:r>
            <w:r>
              <w:rPr>
                <w:sz w:val="24"/>
              </w:rPr>
              <w:t>。经沿线生态调查和咨询，线路评价范围内没有国家重点保护的珍稀濒危动物，其主要野生动物为鼠、兔及蛇等。</w:t>
            </w:r>
            <w:r>
              <w:rPr>
                <w:snapToGrid w:val="0"/>
                <w:sz w:val="24"/>
              </w:rPr>
              <w:t>项目实施后除检修时人员及车辆活动较集中外，日常仅有巡检人员活动。由于区域为人类活动频繁的人工生态系统，野生动物习性已对当地生态系统适应，繁殖较快，项目运行期间不会对动物的</w:t>
            </w:r>
            <w:r>
              <w:rPr>
                <w:snapToGrid w:val="0"/>
                <w:kern w:val="0"/>
                <w:sz w:val="24"/>
              </w:rPr>
              <w:t>栖息繁殖等产生较大影响。</w:t>
            </w:r>
          </w:p>
          <w:p>
            <w:pPr>
              <w:tabs>
                <w:tab w:val="left" w:pos="4425"/>
              </w:tabs>
              <w:spacing w:line="480" w:lineRule="exact"/>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ind w:firstLine="480" w:firstLineChars="200"/>
              <w:rPr>
                <w:sz w:val="24"/>
              </w:rPr>
            </w:pPr>
          </w:p>
          <w:p>
            <w:pPr>
              <w:tabs>
                <w:tab w:val="left" w:pos="4425"/>
              </w:tabs>
              <w:rPr>
                <w:sz w:val="24"/>
              </w:rPr>
            </w:pPr>
          </w:p>
        </w:tc>
      </w:tr>
    </w:tbl>
    <w:p>
      <w:pPr>
        <w:pStyle w:val="2"/>
        <w:rPr>
          <w:rFonts w:ascii="Times New Roman"/>
        </w:rPr>
      </w:pPr>
      <w:r>
        <w:rPr>
          <w:rFonts w:ascii="Times New Roman"/>
        </w:rPr>
        <w:t>环境影响分析</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noWrap w:val="0"/>
            <w:vAlign w:val="top"/>
          </w:tcPr>
          <w:p>
            <w:pPr>
              <w:snapToGrid w:val="0"/>
              <w:spacing w:before="120" w:line="520" w:lineRule="exact"/>
              <w:rPr>
                <w:rFonts w:eastAsia="黑体"/>
                <w:bCs/>
                <w:sz w:val="28"/>
                <w:szCs w:val="28"/>
              </w:rPr>
            </w:pPr>
            <w:r>
              <w:rPr>
                <w:rFonts w:eastAsia="黑体"/>
                <w:bCs/>
                <w:sz w:val="28"/>
                <w:szCs w:val="28"/>
              </w:rPr>
              <w:t>施工期环境影响简要分析：</w:t>
            </w:r>
          </w:p>
          <w:p>
            <w:pPr>
              <w:pStyle w:val="12"/>
              <w:spacing w:line="480" w:lineRule="exact"/>
              <w:ind w:firstLine="480" w:firstLineChars="200"/>
              <w:rPr>
                <w:sz w:val="24"/>
                <w:szCs w:val="24"/>
              </w:rPr>
            </w:pPr>
            <w:r>
              <w:rPr>
                <w:sz w:val="24"/>
                <w:szCs w:val="24"/>
              </w:rPr>
              <w:t>项目施工期间对周围环境造成影响的因素主要是废气、废水、噪声和建筑垃圾。塔基开挖对生态产生的影响。</w:t>
            </w:r>
          </w:p>
          <w:p>
            <w:pPr>
              <w:spacing w:line="480" w:lineRule="exact"/>
              <w:ind w:firstLine="480" w:firstLineChars="200"/>
              <w:rPr>
                <w:b/>
                <w:sz w:val="24"/>
              </w:rPr>
            </w:pPr>
            <w:r>
              <w:rPr>
                <w:b/>
                <w:sz w:val="24"/>
              </w:rPr>
              <w:t>1、大气环境影响分析</w:t>
            </w:r>
          </w:p>
          <w:p>
            <w:pPr>
              <w:spacing w:line="480" w:lineRule="exact"/>
              <w:ind w:firstLine="480" w:firstLineChars="200"/>
              <w:rPr>
                <w:kern w:val="0"/>
                <w:sz w:val="24"/>
              </w:rPr>
            </w:pPr>
            <w:r>
              <w:rPr>
                <w:kern w:val="0"/>
                <w:sz w:val="24"/>
              </w:rPr>
              <w:t>输电线路的施工阶段，尤其是施工初期，塔基开挖、回填、</w:t>
            </w:r>
            <w:r>
              <w:rPr>
                <w:sz w:val="24"/>
              </w:rPr>
              <w:t>材料及电气设备运输过程</w:t>
            </w:r>
            <w:r>
              <w:rPr>
                <w:kern w:val="0"/>
                <w:sz w:val="24"/>
              </w:rPr>
              <w:t>中都产生扬尘污染，特别是久旱无雨的大风天气，扬尘污染更为突出，并且短期内将使局部区域空气中的TSP明显增加。</w:t>
            </w:r>
          </w:p>
          <w:p>
            <w:pPr>
              <w:spacing w:line="480" w:lineRule="exact"/>
              <w:ind w:firstLine="480" w:firstLineChars="200"/>
              <w:rPr>
                <w:sz w:val="24"/>
              </w:rPr>
            </w:pPr>
            <w:r>
              <w:rPr>
                <w:sz w:val="24"/>
              </w:rPr>
              <w:t>本工程建设不需要较多大型的施工机械，施工量较小，产生的废气量很少，且易于扩散，因此施工机械废气对周边空气环境影响很小，主要是施工扬尘影响，且在施工过程中采取有效的防尘、降尘措施：如施工时合理开挖，在施工场地内及附近路面洒水、喷淋，对临时堆放场加盖篷布等，运输车辆在经过居民点时，减缓车速，尽量减小扬尘的产生，截断扬尘的扩散途径。采取上述防尘措施后，工程施工产生的扬尘和废气对工程区域居民点的影响不大。</w:t>
            </w:r>
          </w:p>
          <w:p>
            <w:pPr>
              <w:spacing w:line="480" w:lineRule="exact"/>
              <w:ind w:firstLine="480" w:firstLineChars="200"/>
              <w:rPr>
                <w:b/>
                <w:sz w:val="24"/>
              </w:rPr>
            </w:pPr>
            <w:bookmarkStart w:id="7" w:name="_Toc158000727"/>
            <w:bookmarkStart w:id="8" w:name="_Toc170530085"/>
            <w:bookmarkStart w:id="9" w:name="_Toc170533163"/>
            <w:bookmarkStart w:id="10" w:name="_Toc170585546"/>
            <w:bookmarkStart w:id="11" w:name="_Toc170585758"/>
            <w:bookmarkStart w:id="12" w:name="_Toc208232191"/>
            <w:bookmarkStart w:id="13" w:name="_Toc212119158"/>
            <w:bookmarkStart w:id="14" w:name="_Toc212519630"/>
            <w:bookmarkStart w:id="15" w:name="_Toc230925764"/>
            <w:bookmarkStart w:id="16" w:name="_Toc231030214"/>
            <w:bookmarkStart w:id="17" w:name="_Toc231135578"/>
            <w:r>
              <w:rPr>
                <w:b/>
                <w:sz w:val="24"/>
              </w:rPr>
              <w:t>2、水环境影响分析</w:t>
            </w:r>
            <w:bookmarkEnd w:id="7"/>
            <w:bookmarkEnd w:id="8"/>
            <w:bookmarkEnd w:id="9"/>
            <w:bookmarkEnd w:id="10"/>
            <w:bookmarkEnd w:id="11"/>
            <w:bookmarkEnd w:id="12"/>
            <w:bookmarkEnd w:id="13"/>
            <w:bookmarkEnd w:id="14"/>
            <w:bookmarkEnd w:id="15"/>
            <w:bookmarkEnd w:id="16"/>
            <w:bookmarkEnd w:id="17"/>
          </w:p>
          <w:p>
            <w:pPr>
              <w:spacing w:line="480" w:lineRule="exact"/>
              <w:ind w:firstLine="480" w:firstLineChars="200"/>
              <w:rPr>
                <w:rFonts w:hint="eastAsia"/>
                <w:sz w:val="24"/>
              </w:rPr>
            </w:pPr>
            <w:r>
              <w:rPr>
                <w:sz w:val="24"/>
              </w:rPr>
              <w:t>线路施工废（污）水主要有生活污水。本工程施工段施工量小、施工时间短，施工时各施工段人数也较少，施工人员所产生的生活污水与租户的生活污水一起经化粪池处理后用作农肥，不会对工程区域内的地表水质造成影响。</w:t>
            </w:r>
          </w:p>
          <w:p>
            <w:pPr>
              <w:spacing w:line="480" w:lineRule="exact"/>
              <w:ind w:firstLine="480" w:firstLineChars="200"/>
              <w:rPr>
                <w:rFonts w:hint="eastAsia"/>
                <w:sz w:val="24"/>
              </w:rPr>
            </w:pPr>
            <w:r>
              <w:rPr>
                <w:rFonts w:hint="eastAsia"/>
                <w:sz w:val="24"/>
              </w:rPr>
              <w:t>本项目尽量选择在南水北调输水管道保护范围30m外立塔，并且不在南水北调输水管道保护范围内进行施工。</w:t>
            </w:r>
          </w:p>
          <w:p>
            <w:pPr>
              <w:spacing w:line="480" w:lineRule="exact"/>
              <w:ind w:firstLine="480" w:firstLineChars="200"/>
              <w:rPr>
                <w:b/>
                <w:sz w:val="24"/>
              </w:rPr>
            </w:pPr>
            <w:bookmarkStart w:id="18" w:name="_Toc170530086"/>
            <w:bookmarkStart w:id="19" w:name="_Toc158000728"/>
            <w:bookmarkStart w:id="20" w:name="_Toc170533164"/>
            <w:bookmarkStart w:id="21" w:name="_Toc170585547"/>
            <w:bookmarkStart w:id="22" w:name="_Toc170585759"/>
            <w:bookmarkStart w:id="23" w:name="_Toc208232192"/>
            <w:bookmarkStart w:id="24" w:name="_Toc212119159"/>
            <w:bookmarkStart w:id="25" w:name="_Toc212519631"/>
            <w:bookmarkStart w:id="26" w:name="_Toc230925765"/>
            <w:bookmarkStart w:id="27" w:name="_Toc231030215"/>
            <w:bookmarkStart w:id="28" w:name="_Toc231135579"/>
            <w:r>
              <w:rPr>
                <w:b/>
                <w:sz w:val="24"/>
              </w:rPr>
              <w:t>3、声环境影响分析</w:t>
            </w:r>
            <w:bookmarkEnd w:id="18"/>
            <w:bookmarkEnd w:id="19"/>
            <w:bookmarkEnd w:id="20"/>
            <w:bookmarkEnd w:id="21"/>
            <w:bookmarkEnd w:id="22"/>
            <w:bookmarkEnd w:id="23"/>
            <w:bookmarkEnd w:id="24"/>
            <w:bookmarkEnd w:id="25"/>
            <w:bookmarkEnd w:id="26"/>
            <w:bookmarkEnd w:id="27"/>
            <w:bookmarkEnd w:id="28"/>
          </w:p>
          <w:p>
            <w:pPr>
              <w:spacing w:line="480" w:lineRule="exact"/>
              <w:ind w:firstLine="480" w:firstLineChars="200"/>
              <w:rPr>
                <w:sz w:val="24"/>
              </w:rPr>
            </w:pPr>
            <w:bookmarkStart w:id="29" w:name="_Toc230925766"/>
            <w:bookmarkStart w:id="30" w:name="_Toc231030216"/>
            <w:bookmarkStart w:id="31" w:name="_Toc158000729"/>
            <w:bookmarkStart w:id="32" w:name="_Toc170530087"/>
            <w:bookmarkStart w:id="33" w:name="_Toc170533165"/>
            <w:bookmarkStart w:id="34" w:name="_Toc170585548"/>
            <w:bookmarkStart w:id="35" w:name="_Toc170585760"/>
            <w:bookmarkStart w:id="36" w:name="_Toc208232193"/>
            <w:bookmarkStart w:id="37" w:name="_Toc212119160"/>
            <w:bookmarkStart w:id="38" w:name="_Toc212519632"/>
            <w:r>
              <w:rPr>
                <w:sz w:val="24"/>
              </w:rPr>
              <w:t>对不同施工阶段和施工机械产生的噪声影响，建设单位应采取切实有效的防噪措施，尽可能的降低施工过程中机械设备和运输车辆产生的噪声对周边环境的影响，具体措施如下：（1）合理安排施工时间、合理规划施工场地；（2）对施工机械采取消声降噪措施；（3）运输车辆在途经声环境敏感点时，应尽量保持低速匀速行驶。</w:t>
            </w:r>
          </w:p>
          <w:p>
            <w:pPr>
              <w:spacing w:line="480" w:lineRule="exact"/>
              <w:ind w:firstLine="480" w:firstLineChars="200"/>
              <w:rPr>
                <w:sz w:val="24"/>
              </w:rPr>
            </w:pPr>
            <w:r>
              <w:rPr>
                <w:sz w:val="24"/>
              </w:rPr>
              <w:t>通过采取以上措施后，施工噪声可得到较好地控制。</w:t>
            </w:r>
          </w:p>
          <w:p>
            <w:pPr>
              <w:spacing w:line="480" w:lineRule="exact"/>
              <w:ind w:firstLine="480" w:firstLineChars="200"/>
              <w:rPr>
                <w:sz w:val="24"/>
              </w:rPr>
            </w:pPr>
            <w:r>
              <w:rPr>
                <w:sz w:val="24"/>
              </w:rPr>
              <w:t>送电线路施工所用的施工机械较少，且以人力施工为主。因此，控制夜间不在</w:t>
            </w:r>
            <w:r>
              <w:rPr>
                <w:rFonts w:hint="eastAsia"/>
                <w:sz w:val="24"/>
              </w:rPr>
              <w:t>贾庄村</w:t>
            </w:r>
            <w:r>
              <w:rPr>
                <w:sz w:val="24"/>
              </w:rPr>
              <w:t>附近进行施工作业，不会出现施工噪声扰民问题。</w:t>
            </w:r>
          </w:p>
          <w:p>
            <w:pPr>
              <w:spacing w:line="480" w:lineRule="exact"/>
              <w:ind w:firstLine="480" w:firstLineChars="200"/>
              <w:rPr>
                <w:sz w:val="24"/>
              </w:rPr>
            </w:pPr>
            <w:r>
              <w:rPr>
                <w:sz w:val="24"/>
              </w:rPr>
              <w:t>本工程施工期产生的噪声影响是小范围的和暂时的，随着施工期的结束，对环境的影响也将随即消失。</w:t>
            </w:r>
          </w:p>
          <w:p>
            <w:pPr>
              <w:spacing w:line="480" w:lineRule="exact"/>
              <w:ind w:firstLine="480" w:firstLineChars="200"/>
              <w:rPr>
                <w:b/>
                <w:sz w:val="24"/>
              </w:rPr>
            </w:pPr>
            <w:bookmarkStart w:id="39" w:name="_Toc231135580"/>
            <w:r>
              <w:rPr>
                <w:b/>
                <w:sz w:val="24"/>
              </w:rPr>
              <w:t>4、固体废物环境影响分析</w:t>
            </w:r>
            <w:bookmarkEnd w:id="29"/>
            <w:bookmarkEnd w:id="30"/>
            <w:bookmarkEnd w:id="31"/>
            <w:bookmarkEnd w:id="32"/>
            <w:bookmarkEnd w:id="33"/>
            <w:bookmarkEnd w:id="34"/>
            <w:bookmarkEnd w:id="35"/>
            <w:bookmarkEnd w:id="36"/>
            <w:bookmarkEnd w:id="37"/>
            <w:bookmarkEnd w:id="38"/>
            <w:bookmarkEnd w:id="39"/>
          </w:p>
          <w:p>
            <w:pPr>
              <w:spacing w:line="480" w:lineRule="exact"/>
              <w:ind w:firstLine="480" w:firstLineChars="200"/>
              <w:rPr>
                <w:sz w:val="24"/>
              </w:rPr>
            </w:pPr>
            <w:r>
              <w:rPr>
                <w:sz w:val="24"/>
              </w:rPr>
              <w:t>线路施工人员暂时租住在施工段附近的居民房内，其生活垃圾与当地居民生活垃圾一并处置，不随意丢弃，对环境的影响较小。线路过程做到“填挖平衡”，减少弃方和借方，弃土在塔基征地范围内铺平绿化。</w:t>
            </w:r>
          </w:p>
          <w:p>
            <w:pPr>
              <w:spacing w:line="500" w:lineRule="exact"/>
              <w:ind w:firstLine="480" w:firstLineChars="200"/>
              <w:rPr>
                <w:b/>
                <w:sz w:val="24"/>
              </w:rPr>
            </w:pPr>
            <w:r>
              <w:rPr>
                <w:b/>
                <w:sz w:val="24"/>
              </w:rPr>
              <w:t>5、生态环境影响分析</w:t>
            </w:r>
          </w:p>
          <w:p>
            <w:pPr>
              <w:spacing w:line="500" w:lineRule="exact"/>
              <w:ind w:firstLine="480" w:firstLineChars="200"/>
              <w:rPr>
                <w:sz w:val="24"/>
              </w:rPr>
            </w:pPr>
            <w:r>
              <w:rPr>
                <w:sz w:val="24"/>
              </w:rPr>
              <w:t>（1）输电线路施工道路，原则上利用现有道路或在原有路基上拓宽，租用现有房屋设施作为施工用房，减少临时占地。输电线路施工道路应按输电线路走向及线路宽度进行布置，严格控制施工道路宽度，工程施工合理安排施工顺序，减少施工对土地扰动，减少弃渣的临时堆放。施工结束后及时进行生态恢复。</w:t>
            </w:r>
          </w:p>
          <w:p>
            <w:pPr>
              <w:spacing w:line="500" w:lineRule="exact"/>
              <w:ind w:firstLine="480" w:firstLineChars="200"/>
              <w:rPr>
                <w:sz w:val="24"/>
              </w:rPr>
            </w:pPr>
            <w:r>
              <w:rPr>
                <w:sz w:val="24"/>
              </w:rPr>
              <w:t>（2）加强施工管理和临时防护措施，对于容易流失的建筑材料（水泥）应及时入库，砂石料要集中堆放，同时在其周边用装土麻袋进行拦护，预防被雨水冲走，减少水土流失。</w:t>
            </w:r>
          </w:p>
          <w:p>
            <w:pPr>
              <w:spacing w:line="500" w:lineRule="exact"/>
              <w:ind w:firstLine="480" w:firstLineChars="200"/>
              <w:rPr>
                <w:sz w:val="24"/>
              </w:rPr>
            </w:pPr>
            <w:r>
              <w:rPr>
                <w:sz w:val="24"/>
              </w:rPr>
              <w:t>（3）当部分工程完成后，及时对裸露地进行硬化或绿化整治。</w:t>
            </w:r>
          </w:p>
          <w:p>
            <w:pPr>
              <w:spacing w:line="500" w:lineRule="exact"/>
              <w:ind w:firstLine="480" w:firstLineChars="200"/>
              <w:rPr>
                <w:sz w:val="24"/>
              </w:rPr>
            </w:pPr>
            <w:r>
              <w:rPr>
                <w:sz w:val="24"/>
              </w:rPr>
              <w:t>（4）对于施工期建材的堆放，在工程施工结束后，及时进行清理，并对临时用地进行整治，覆土退耕或恢复植被，架线牵张场选在植被稀少的区域，防止砍伐树木，工程结束后，恢复牵张场植被。</w:t>
            </w:r>
          </w:p>
          <w:p>
            <w:pPr>
              <w:spacing w:line="500" w:lineRule="exact"/>
              <w:ind w:firstLine="480" w:firstLineChars="200"/>
              <w:rPr>
                <w:sz w:val="24"/>
              </w:rPr>
            </w:pPr>
            <w:r>
              <w:rPr>
                <w:sz w:val="24"/>
              </w:rPr>
              <w:t>（5）塔基土建施工过程中，保持原有地形、地貌。</w:t>
            </w:r>
          </w:p>
          <w:p>
            <w:pPr>
              <w:spacing w:line="480" w:lineRule="exact"/>
              <w:ind w:firstLine="480" w:firstLineChars="200"/>
              <w:rPr>
                <w:b/>
                <w:sz w:val="24"/>
              </w:rPr>
            </w:pPr>
            <w:r>
              <w:rPr>
                <w:sz w:val="24"/>
              </w:rPr>
              <w:t>综上，工程施工期对环境的影响是小范围的、短暂的、可逆的，随着施工期的结束，对环境的影响也将消失。设计及施工阶段充分考虑环境保护要求并采取相应的环境保护措施后，本工程建设产生生态环境影响可接受。</w:t>
            </w:r>
          </w:p>
          <w:p>
            <w:pPr>
              <w:spacing w:line="480" w:lineRule="exact"/>
              <w:ind w:firstLine="561" w:firstLineChars="200"/>
              <w:rPr>
                <w:b/>
                <w:sz w:val="28"/>
              </w:rPr>
            </w:pPr>
          </w:p>
          <w:p>
            <w:pPr>
              <w:spacing w:line="480" w:lineRule="exact"/>
              <w:rPr>
                <w:rFonts w:hint="eastAsia"/>
                <w:b/>
                <w:sz w:val="28"/>
              </w:rPr>
            </w:pPr>
          </w:p>
          <w:p>
            <w:pPr>
              <w:spacing w:line="480" w:lineRule="exact"/>
              <w:rPr>
                <w:rFonts w:hint="eastAsia"/>
                <w:b/>
                <w:sz w:val="28"/>
              </w:rPr>
            </w:pPr>
          </w:p>
          <w:p>
            <w:pPr>
              <w:spacing w:line="480" w:lineRule="exact"/>
              <w:rPr>
                <w:rFonts w:hint="eastAsia"/>
                <w:b/>
                <w:sz w:val="28"/>
              </w:rPr>
            </w:pPr>
          </w:p>
          <w:p>
            <w:pPr>
              <w:spacing w:line="480" w:lineRule="exact"/>
              <w:rPr>
                <w:b/>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53" w:hRule="atLeast"/>
          <w:jc w:val="center"/>
        </w:trPr>
        <w:tc>
          <w:tcPr>
            <w:tcW w:w="8522" w:type="dxa"/>
            <w:noWrap w:val="0"/>
            <w:vAlign w:val="top"/>
          </w:tcPr>
          <w:p>
            <w:pPr>
              <w:snapToGrid w:val="0"/>
              <w:spacing w:before="120" w:line="520" w:lineRule="exact"/>
              <w:rPr>
                <w:bCs/>
                <w:sz w:val="28"/>
                <w:szCs w:val="28"/>
              </w:rPr>
            </w:pPr>
            <w:r>
              <w:rPr>
                <w:bCs/>
                <w:sz w:val="28"/>
                <w:szCs w:val="28"/>
              </w:rPr>
              <w:t>运营期电磁环境与声环境影响分析</w:t>
            </w:r>
          </w:p>
          <w:p>
            <w:pPr>
              <w:spacing w:line="540" w:lineRule="exact"/>
              <w:ind w:firstLine="480" w:firstLineChars="200"/>
              <w:rPr>
                <w:b/>
                <w:sz w:val="24"/>
              </w:rPr>
            </w:pPr>
            <w:r>
              <w:rPr>
                <w:b/>
                <w:sz w:val="24"/>
              </w:rPr>
              <w:t>1、输电线路电磁环境影响预测及评价</w:t>
            </w:r>
          </w:p>
          <w:p>
            <w:pPr>
              <w:spacing w:line="540" w:lineRule="exact"/>
              <w:ind w:firstLine="480" w:firstLineChars="200"/>
              <w:rPr>
                <w:sz w:val="24"/>
              </w:rPr>
            </w:pPr>
            <w:r>
              <w:rPr>
                <w:sz w:val="24"/>
              </w:rPr>
              <w:t>因为架线越低对地面的影响越大，本评价选取用塔基最低的</w:t>
            </w:r>
            <w:r>
              <w:rPr>
                <w:rFonts w:hint="eastAsia"/>
                <w:sz w:val="24"/>
              </w:rPr>
              <w:t>双</w:t>
            </w:r>
            <w:r>
              <w:rPr>
                <w:sz w:val="24"/>
              </w:rPr>
              <w:t>回路2F4-SJ4型铁塔来评价线路建成后对环境的影响，计算预测评价采用参数见表1</w:t>
            </w:r>
            <w:r>
              <w:rPr>
                <w:rFonts w:hint="eastAsia"/>
                <w:sz w:val="24"/>
              </w:rPr>
              <w:t>0</w:t>
            </w:r>
            <w:r>
              <w:rPr>
                <w:sz w:val="24"/>
              </w:rPr>
              <w:t>，本项目线路计算预测所用塔型见附图3。</w:t>
            </w:r>
          </w:p>
          <w:p>
            <w:pPr>
              <w:tabs>
                <w:tab w:val="left" w:pos="700"/>
              </w:tabs>
              <w:spacing w:line="540" w:lineRule="exact"/>
              <w:jc w:val="center"/>
              <w:rPr>
                <w:b/>
                <w:szCs w:val="21"/>
              </w:rPr>
            </w:pPr>
            <w:r>
              <w:rPr>
                <w:b/>
                <w:szCs w:val="21"/>
              </w:rPr>
              <w:t>表1</w:t>
            </w:r>
            <w:r>
              <w:rPr>
                <w:rFonts w:hint="eastAsia"/>
                <w:b/>
                <w:szCs w:val="21"/>
              </w:rPr>
              <w:t>0</w:t>
            </w:r>
            <w:r>
              <w:rPr>
                <w:b/>
                <w:szCs w:val="21"/>
              </w:rPr>
              <w:t xml:space="preserve">  理论计算所用参数表</w:t>
            </w:r>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8"/>
              <w:gridCol w:w="37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2750" w:type="pct"/>
                  <w:noWrap w:val="0"/>
                  <w:vAlign w:val="center"/>
                </w:tcPr>
                <w:p>
                  <w:pPr>
                    <w:widowControl/>
                    <w:snapToGrid w:val="0"/>
                    <w:spacing w:line="360" w:lineRule="exact"/>
                    <w:jc w:val="center"/>
                    <w:rPr>
                      <w:kern w:val="0"/>
                      <w:szCs w:val="21"/>
                    </w:rPr>
                  </w:pPr>
                  <w:r>
                    <w:rPr>
                      <w:kern w:val="0"/>
                      <w:szCs w:val="21"/>
                    </w:rPr>
                    <w:t>回路数</w:t>
                  </w:r>
                </w:p>
              </w:tc>
              <w:tc>
                <w:tcPr>
                  <w:tcW w:w="2250" w:type="pct"/>
                  <w:noWrap w:val="0"/>
                  <w:vAlign w:val="top"/>
                </w:tcPr>
                <w:p>
                  <w:pPr>
                    <w:spacing w:line="360" w:lineRule="exact"/>
                    <w:jc w:val="center"/>
                  </w:pPr>
                  <w:r>
                    <w:t>双回路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2750" w:type="pct"/>
                  <w:noWrap w:val="0"/>
                  <w:vAlign w:val="center"/>
                </w:tcPr>
                <w:p>
                  <w:pPr>
                    <w:widowControl/>
                    <w:snapToGrid w:val="0"/>
                    <w:spacing w:line="360" w:lineRule="exact"/>
                    <w:jc w:val="center"/>
                    <w:rPr>
                      <w:kern w:val="0"/>
                      <w:szCs w:val="21"/>
                    </w:rPr>
                  </w:pPr>
                  <w:r>
                    <w:rPr>
                      <w:kern w:val="0"/>
                      <w:szCs w:val="21"/>
                    </w:rPr>
                    <w:t>导线半径(mm)</w:t>
                  </w:r>
                </w:p>
              </w:tc>
              <w:tc>
                <w:tcPr>
                  <w:tcW w:w="2250" w:type="pct"/>
                  <w:noWrap w:val="0"/>
                  <w:vAlign w:val="top"/>
                </w:tcPr>
                <w:p>
                  <w:pPr>
                    <w:spacing w:line="360" w:lineRule="exact"/>
                    <w:jc w:val="center"/>
                  </w:pPr>
                  <w:r>
                    <w:t>14.16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2750" w:type="pct"/>
                  <w:noWrap w:val="0"/>
                  <w:vAlign w:val="center"/>
                </w:tcPr>
                <w:p>
                  <w:pPr>
                    <w:widowControl/>
                    <w:snapToGrid w:val="0"/>
                    <w:spacing w:line="360" w:lineRule="exact"/>
                    <w:jc w:val="center"/>
                    <w:rPr>
                      <w:kern w:val="0"/>
                      <w:szCs w:val="21"/>
                    </w:rPr>
                  </w:pPr>
                  <w:r>
                    <w:rPr>
                      <w:kern w:val="0"/>
                      <w:szCs w:val="21"/>
                    </w:rPr>
                    <w:t>杆塔类型</w:t>
                  </w:r>
                </w:p>
              </w:tc>
              <w:tc>
                <w:tcPr>
                  <w:tcW w:w="2250" w:type="pct"/>
                  <w:noWrap w:val="0"/>
                  <w:vAlign w:val="top"/>
                </w:tcPr>
                <w:p>
                  <w:pPr>
                    <w:spacing w:line="360" w:lineRule="exact"/>
                    <w:jc w:val="center"/>
                  </w:pPr>
                  <w:r>
                    <w:t>2F4-SJ4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2750" w:type="pct"/>
                  <w:noWrap w:val="0"/>
                  <w:vAlign w:val="center"/>
                </w:tcPr>
                <w:p>
                  <w:pPr>
                    <w:widowControl/>
                    <w:snapToGrid w:val="0"/>
                    <w:spacing w:line="360" w:lineRule="exact"/>
                    <w:jc w:val="center"/>
                    <w:rPr>
                      <w:kern w:val="0"/>
                      <w:szCs w:val="21"/>
                    </w:rPr>
                  </w:pPr>
                  <w:r>
                    <w:rPr>
                      <w:kern w:val="0"/>
                      <w:szCs w:val="21"/>
                    </w:rPr>
                    <w:t>导线排列方式</w:t>
                  </w:r>
                </w:p>
              </w:tc>
              <w:tc>
                <w:tcPr>
                  <w:tcW w:w="2250" w:type="pct"/>
                  <w:noWrap w:val="0"/>
                  <w:vAlign w:val="top"/>
                </w:tcPr>
                <w:p>
                  <w:pPr>
                    <w:spacing w:line="360" w:lineRule="exact"/>
                    <w:jc w:val="center"/>
                    <w:rPr>
                      <w:kern w:val="0"/>
                      <w:szCs w:val="21"/>
                    </w:rPr>
                  </w:pPr>
                  <w:r>
                    <w:rPr>
                      <w:kern w:val="0"/>
                      <w:szCs w:val="21"/>
                    </w:rPr>
                    <w:t>垂直排列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2750" w:type="pct"/>
                  <w:noWrap w:val="0"/>
                  <w:vAlign w:val="center"/>
                </w:tcPr>
                <w:p>
                  <w:pPr>
                    <w:widowControl/>
                    <w:snapToGrid w:val="0"/>
                    <w:spacing w:line="360" w:lineRule="exact"/>
                    <w:jc w:val="center"/>
                    <w:rPr>
                      <w:kern w:val="0"/>
                      <w:szCs w:val="21"/>
                    </w:rPr>
                  </w:pPr>
                  <w:r>
                    <w:rPr>
                      <w:kern w:val="0"/>
                      <w:szCs w:val="21"/>
                    </w:rPr>
                    <w:t>水平相距(距塔中心m)</w:t>
                  </w:r>
                </w:p>
              </w:tc>
              <w:tc>
                <w:tcPr>
                  <w:tcW w:w="2250" w:type="pct"/>
                  <w:noWrap w:val="0"/>
                  <w:vAlign w:val="top"/>
                </w:tcPr>
                <w:p>
                  <w:pPr>
                    <w:spacing w:line="360" w:lineRule="exact"/>
                    <w:jc w:val="center"/>
                  </w:pPr>
                  <w:r>
                    <w:t>-6/-7.5/-6.5、4/5.5/4.5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2750" w:type="pct"/>
                  <w:noWrap w:val="0"/>
                  <w:vAlign w:val="center"/>
                </w:tcPr>
                <w:p>
                  <w:pPr>
                    <w:spacing w:line="360" w:lineRule="exact"/>
                    <w:jc w:val="center"/>
                    <w:rPr>
                      <w:szCs w:val="21"/>
                    </w:rPr>
                  </w:pPr>
                  <w:r>
                    <w:rPr>
                      <w:szCs w:val="21"/>
                    </w:rPr>
                    <w:t>导线离地距离（C、B、A）m</w:t>
                  </w:r>
                </w:p>
              </w:tc>
              <w:tc>
                <w:tcPr>
                  <w:tcW w:w="2250" w:type="pct"/>
                  <w:noWrap w:val="0"/>
                  <w:vAlign w:val="top"/>
                </w:tcPr>
                <w:p>
                  <w:pPr>
                    <w:spacing w:line="360" w:lineRule="exact"/>
                    <w:jc w:val="center"/>
                  </w:pPr>
                  <w:r>
                    <w:t>6.5/12.5/19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2750" w:type="pct"/>
                  <w:noWrap w:val="0"/>
                  <w:vAlign w:val="center"/>
                </w:tcPr>
                <w:p>
                  <w:pPr>
                    <w:spacing w:line="360" w:lineRule="exact"/>
                    <w:jc w:val="center"/>
                    <w:rPr>
                      <w:szCs w:val="21"/>
                    </w:rPr>
                  </w:pPr>
                  <w:r>
                    <w:rPr>
                      <w:szCs w:val="21"/>
                    </w:rPr>
                    <w:t>导线分裂回数</w:t>
                  </w:r>
                </w:p>
              </w:tc>
              <w:tc>
                <w:tcPr>
                  <w:tcW w:w="2250" w:type="pct"/>
                  <w:noWrap w:val="0"/>
                  <w:vAlign w:val="top"/>
                </w:tcPr>
                <w:p>
                  <w:pPr>
                    <w:spacing w:line="360" w:lineRule="exact"/>
                    <w:jc w:val="center"/>
                  </w:pPr>
                  <w:r>
                    <w:t>双分裂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2750" w:type="pct"/>
                  <w:noWrap w:val="0"/>
                  <w:vAlign w:val="center"/>
                </w:tcPr>
                <w:p>
                  <w:pPr>
                    <w:spacing w:line="360" w:lineRule="exact"/>
                    <w:jc w:val="center"/>
                    <w:rPr>
                      <w:szCs w:val="21"/>
                    </w:rPr>
                  </w:pPr>
                  <w:r>
                    <w:rPr>
                      <w:szCs w:val="21"/>
                    </w:rPr>
                    <w:t>分裂间距</w:t>
                  </w:r>
                </w:p>
              </w:tc>
              <w:tc>
                <w:tcPr>
                  <w:tcW w:w="2250" w:type="pct"/>
                  <w:noWrap w:val="0"/>
                  <w:vAlign w:val="top"/>
                </w:tcPr>
                <w:p>
                  <w:pPr>
                    <w:spacing w:line="360" w:lineRule="exact"/>
                    <w:jc w:val="center"/>
                  </w:pPr>
                  <w:r>
                    <w:t>500mm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2750" w:type="pct"/>
                  <w:noWrap w:val="0"/>
                  <w:vAlign w:val="center"/>
                </w:tcPr>
                <w:p>
                  <w:pPr>
                    <w:widowControl/>
                    <w:snapToGrid w:val="0"/>
                    <w:spacing w:line="360" w:lineRule="exact"/>
                    <w:jc w:val="center"/>
                    <w:rPr>
                      <w:kern w:val="0"/>
                      <w:szCs w:val="21"/>
                    </w:rPr>
                  </w:pPr>
                  <w:r>
                    <w:rPr>
                      <w:kern w:val="0"/>
                      <w:szCs w:val="21"/>
                    </w:rPr>
                    <w:t>导线离地距离(m)</w:t>
                  </w:r>
                </w:p>
              </w:tc>
              <w:tc>
                <w:tcPr>
                  <w:tcW w:w="2250" w:type="pct"/>
                  <w:noWrap w:val="0"/>
                  <w:vAlign w:val="top"/>
                </w:tcPr>
                <w:p>
                  <w:pPr>
                    <w:spacing w:line="360" w:lineRule="exact"/>
                    <w:jc w:val="center"/>
                  </w:pPr>
                  <w: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2750" w:type="pct"/>
                  <w:noWrap w:val="0"/>
                  <w:vAlign w:val="center"/>
                </w:tcPr>
                <w:p>
                  <w:pPr>
                    <w:widowControl/>
                    <w:snapToGrid w:val="0"/>
                    <w:spacing w:line="360" w:lineRule="exact"/>
                    <w:jc w:val="center"/>
                    <w:rPr>
                      <w:kern w:val="0"/>
                      <w:szCs w:val="21"/>
                    </w:rPr>
                  </w:pPr>
                  <w:r>
                    <w:rPr>
                      <w:kern w:val="0"/>
                      <w:szCs w:val="21"/>
                    </w:rPr>
                    <w:t>电流</w:t>
                  </w:r>
                </w:p>
              </w:tc>
              <w:tc>
                <w:tcPr>
                  <w:tcW w:w="2250" w:type="pct"/>
                  <w:noWrap w:val="0"/>
                  <w:vAlign w:val="top"/>
                </w:tcPr>
                <w:p>
                  <w:pPr>
                    <w:spacing w:line="360" w:lineRule="exact"/>
                    <w:jc w:val="center"/>
                  </w:pPr>
                  <w:r>
                    <w:t>1962A</w:t>
                  </w:r>
                </w:p>
              </w:tc>
            </w:tr>
          </w:tbl>
          <w:p>
            <w:pPr>
              <w:spacing w:line="500" w:lineRule="exact"/>
              <w:ind w:firstLine="480" w:firstLineChars="200"/>
              <w:rPr>
                <w:sz w:val="24"/>
              </w:rPr>
            </w:pPr>
            <w:r>
              <w:rPr>
                <w:sz w:val="24"/>
              </w:rPr>
              <w:t>（1）220kV线路电场预测</w:t>
            </w:r>
          </w:p>
          <w:p>
            <w:pPr>
              <w:spacing w:line="500" w:lineRule="exact"/>
              <w:ind w:firstLine="480" w:firstLineChars="200"/>
              <w:rPr>
                <w:sz w:val="24"/>
              </w:rPr>
            </w:pPr>
            <w:r>
              <w:rPr>
                <w:sz w:val="24"/>
              </w:rPr>
              <w:t>220kV送电线下空间电场强度的预测计算</w:t>
            </w:r>
          </w:p>
          <w:p>
            <w:pPr>
              <w:spacing w:line="500" w:lineRule="exact"/>
              <w:ind w:firstLine="480" w:firstLineChars="200"/>
              <w:rPr>
                <w:sz w:val="24"/>
              </w:rPr>
            </w:pPr>
            <w:r>
              <w:rPr>
                <w:sz w:val="24"/>
              </w:rPr>
              <w:t>根据《环境影响评价技术导则  输变电工程》（HJ24-2014）附录C推荐的计算模式进行。</w:t>
            </w:r>
          </w:p>
          <w:p>
            <w:pPr>
              <w:spacing w:line="500" w:lineRule="exact"/>
              <w:ind w:firstLine="480" w:firstLineChars="200"/>
              <w:rPr>
                <w:sz w:val="24"/>
              </w:rPr>
            </w:pPr>
            <w:r>
              <w:rPr>
                <w:rFonts w:ascii="宋体"/>
                <w:sz w:val="24"/>
              </w:rPr>
              <w:t>①</w:t>
            </w:r>
            <w:r>
              <w:rPr>
                <w:sz w:val="24"/>
              </w:rPr>
              <w:t>单位长度导线下等效电荷的计算</w:t>
            </w:r>
          </w:p>
          <w:p>
            <w:pPr>
              <w:spacing w:line="500" w:lineRule="exact"/>
              <w:ind w:firstLine="480" w:firstLineChars="200"/>
              <w:rPr>
                <w:sz w:val="24"/>
              </w:rPr>
            </w:pPr>
            <w:r>
              <w:rPr>
                <w:sz w:val="24"/>
              </w:rPr>
              <w:t>高压送电线上的等效电荷是线电荷，由于高压送电线半径r远小于架设高度h，因此等效电荷的位置可以认为是在送电导线的几何中心。</w:t>
            </w:r>
          </w:p>
          <w:p>
            <w:pPr>
              <w:spacing w:line="500" w:lineRule="exact"/>
              <w:ind w:firstLine="480" w:firstLineChars="200"/>
              <w:rPr>
                <w:sz w:val="24"/>
              </w:rPr>
            </w:pPr>
            <w:r>
              <w:rPr>
                <w:sz w:val="24"/>
              </w:rPr>
              <w:t>设送电线路为无限长并且平行于地面，地面可视为良导体，利用镜像法计算送电线上的等效电荷。</w:t>
            </w:r>
          </w:p>
          <w:p>
            <w:pPr>
              <w:spacing w:line="500" w:lineRule="exact"/>
              <w:ind w:firstLine="480" w:firstLineChars="200"/>
              <w:rPr>
                <w:sz w:val="24"/>
              </w:rPr>
            </w:pPr>
            <w:r>
              <w:rPr>
                <w:sz w:val="24"/>
              </w:rPr>
              <w:t>多导线线路中导线上的等效电荷由下列矩阵方程计算：</w:t>
            </w:r>
          </w:p>
          <w:p>
            <w:pPr>
              <w:spacing w:before="240" w:after="240" w:line="540" w:lineRule="atLeast"/>
              <w:ind w:firstLine="1080" w:firstLineChars="450"/>
              <w:rPr>
                <w:sz w:val="24"/>
              </w:rPr>
            </w:pPr>
            <w:r>
              <w:rPr>
                <w:position w:val="-66"/>
                <w:sz w:val="24"/>
              </w:rPr>
              <w:object>
                <v:shape id="_x0000_i1026" o:spt="75" type="#_x0000_t75" style="height:76.5pt;width:204.8pt;" o:ole="t" filled="f" o:preferrelative="t" stroked="f" coordsize="21600,21600">
                  <v:path/>
                  <v:fill on="f" focussize="0,0"/>
                  <v:stroke on="f"/>
                  <v:imagedata r:id="rId11" o:title=""/>
                  <o:lock v:ext="edit" grouping="f" rotation="f" text="f" aspectratio="t"/>
                  <w10:wrap type="none"/>
                  <w10:anchorlock/>
                </v:shape>
                <o:OLEObject Type="Embed" ProgID="Equation.2" ShapeID="_x0000_i1026" DrawAspect="Content" ObjectID="_1468075726" r:id="rId10">
                  <o:LockedField>false</o:LockedField>
                </o:OLEObject>
              </w:object>
            </w:r>
            <w:r>
              <w:rPr>
                <w:sz w:val="24"/>
              </w:rPr>
              <w:t xml:space="preserve">  ..........（1）</w:t>
            </w:r>
          </w:p>
          <w:p>
            <w:pPr>
              <w:spacing w:line="500" w:lineRule="exact"/>
              <w:ind w:firstLine="480" w:firstLineChars="200"/>
              <w:rPr>
                <w:sz w:val="24"/>
              </w:rPr>
            </w:pPr>
            <w:r>
              <w:rPr>
                <w:sz w:val="24"/>
              </w:rPr>
              <w:t>式中：[u]---各导线对地电压的单列矩阵；</w:t>
            </w:r>
          </w:p>
          <w:p>
            <w:pPr>
              <w:spacing w:line="500" w:lineRule="exact"/>
              <w:rPr>
                <w:sz w:val="24"/>
              </w:rPr>
            </w:pPr>
            <w:r>
              <w:rPr>
                <w:sz w:val="24"/>
              </w:rPr>
              <w:t xml:space="preserve">          [Q]---各导线上等效电荷的单列矩阵；</w:t>
            </w:r>
          </w:p>
          <w:p>
            <w:pPr>
              <w:spacing w:line="500" w:lineRule="exact"/>
              <w:rPr>
                <w:sz w:val="24"/>
              </w:rPr>
            </w:pPr>
            <w:r>
              <w:rPr>
                <w:sz w:val="24"/>
              </w:rPr>
              <w:t xml:space="preserve">          [λ]---各导线的电位系数组成的n阶方阵(n为导线数目)。</w:t>
            </w:r>
          </w:p>
          <w:p>
            <w:pPr>
              <w:spacing w:line="500" w:lineRule="exact"/>
              <w:ind w:firstLine="480" w:firstLineChars="200"/>
              <w:rPr>
                <w:sz w:val="24"/>
              </w:rPr>
            </w:pPr>
            <w:r>
              <w:rPr>
                <w:sz w:val="24"/>
              </w:rPr>
              <w:t>式1中，[u]矩阵由送电线的电压和相位确定，并以额定电压的1.05倍作为计算电压。并由三相220kV（线间电压）回路各相的相位和分量，计算各导线对地电压为：</w:t>
            </w:r>
          </w:p>
          <w:p>
            <w:pPr>
              <w:spacing w:before="120" w:after="120" w:line="480" w:lineRule="atLeast"/>
              <w:ind w:firstLine="960" w:firstLineChars="400"/>
              <w:rPr>
                <w:sz w:val="24"/>
              </w:rPr>
            </w:pPr>
            <w:r>
              <w:rPr>
                <w:position w:val="-64"/>
                <w:sz w:val="24"/>
              </w:rPr>
              <w:object>
                <v:shape id="_x0000_i1027" o:spt="75" type="#_x0000_t75" style="height:71.3pt;width:86.2pt;" o:ole="t" filled="f" o:preferrelative="t" stroked="f" coordsize="21600,21600">
                  <v:path/>
                  <v:fill on="f" focussize="0,0"/>
                  <v:stroke on="f"/>
                  <v:imagedata r:id="rId13" o:title=""/>
                  <o:lock v:ext="edit" grouping="f" rotation="f" text="f" aspectratio="t"/>
                  <w10:wrap type="none"/>
                  <w10:anchorlock/>
                </v:shape>
                <o:OLEObject Type="Embed" ProgID="Equation.3" ShapeID="_x0000_i1027" DrawAspect="Content" ObjectID="_1468075727" r:id="rId12">
                  <o:LockedField>false</o:LockedField>
                </o:OLEObject>
              </w:object>
            </w:r>
          </w:p>
          <w:p>
            <w:pPr>
              <w:spacing w:line="500" w:lineRule="exact"/>
              <w:ind w:firstLine="480" w:firstLineChars="200"/>
              <w:rPr>
                <w:sz w:val="24"/>
              </w:rPr>
            </w:pPr>
            <w:r>
              <w:rPr>
                <w:sz w:val="24"/>
              </w:rPr>
              <w:t>各导线对地电压分量为：</w:t>
            </w:r>
          </w:p>
          <w:p>
            <w:pPr>
              <w:spacing w:line="480" w:lineRule="atLeast"/>
              <w:rPr>
                <w:sz w:val="24"/>
              </w:rPr>
            </w:pPr>
            <w:r>
              <w:rPr>
                <w:b/>
                <w:sz w:val="24"/>
              </w:rPr>
              <w:pict>
                <v:shape id="_x0000_s1026" o:spid="_x0000_s1026" o:spt="75" type="#_x0000_t75" style="position:absolute;left:0pt;margin-left:45.1pt;margin-top:9.45pt;height:58pt;width:137.95pt;z-index:251659264;mso-width-relative:page;mso-height-relative:page;" o:ole="t" filled="f" o:preferrelative="t" stroked="f" coordsize="21600,21600">
                  <v:path/>
                  <v:fill on="f" focussize="0,0"/>
                  <v:stroke on="f"/>
                  <v:imagedata r:id="rId15" o:title=""/>
                  <o:lock v:ext="edit" grouping="f" rotation="f" text="f" aspectratio="t"/>
                </v:shape>
                <o:OLEObject Type="Embed" ProgID="Equation.3" ShapeID="_x0000_s1026" DrawAspect="Content" ObjectID="_1468075728" r:id="rId14">
                  <o:LockedField>false</o:LockedField>
                </o:OLEObject>
              </w:pict>
            </w:r>
          </w:p>
          <w:p>
            <w:pPr>
              <w:spacing w:before="120" w:after="120" w:line="540" w:lineRule="atLeast"/>
              <w:rPr>
                <w:sz w:val="24"/>
              </w:rPr>
            </w:pPr>
            <w:r>
              <w:rPr>
                <w:sz w:val="24"/>
              </w:rPr>
              <w:br w:type="textWrapping" w:clear="all"/>
            </w:r>
            <w:r>
              <w:rPr>
                <w:sz w:val="24"/>
              </w:rPr>
              <w:t xml:space="preserve">   </w:t>
            </w:r>
          </w:p>
          <w:p>
            <w:pPr>
              <w:spacing w:line="540" w:lineRule="atLeast"/>
              <w:jc w:val="center"/>
              <w:rPr>
                <w:sz w:val="24"/>
              </w:rPr>
            </w:pPr>
            <w:r>
              <w:rPr>
                <w:sz w:val="24"/>
              </w:rPr>
              <w:object>
                <v:shape id="_x0000_i1028" o:spt="75" type="#_x0000_t75" style="height:155.3pt;width:242.25pt;" o:ole="t" filled="f" o:preferrelative="t" stroked="f" coordsize="21600,21600">
                  <v:path/>
                  <v:fill on="f" focussize="0,0"/>
                  <v:stroke on="f"/>
                  <v:imagedata r:id="rId17" o:title=""/>
                  <o:lock v:ext="edit" grouping="f" rotation="f" text="f" aspectratio="t"/>
                  <w10:wrap type="none"/>
                  <w10:anchorlock/>
                </v:shape>
                <o:OLEObject Type="Embed" ProgID="Word.Picture.8" ShapeID="_x0000_i1028" DrawAspect="Content" ObjectID="_1468075729" r:id="rId16">
                  <o:LockedField>false</o:LockedField>
                </o:OLEObject>
              </w:object>
            </w:r>
          </w:p>
          <w:p>
            <w:pPr>
              <w:tabs>
                <w:tab w:val="left" w:pos="700"/>
              </w:tabs>
              <w:spacing w:line="500" w:lineRule="exact"/>
              <w:jc w:val="center"/>
              <w:rPr>
                <w:b/>
                <w:szCs w:val="21"/>
              </w:rPr>
            </w:pPr>
            <w:r>
              <w:rPr>
                <w:b/>
                <w:szCs w:val="21"/>
              </w:rPr>
              <w:t>图2  对地电压计算图</w:t>
            </w:r>
          </w:p>
          <w:p>
            <w:pPr>
              <w:spacing w:line="500" w:lineRule="exact"/>
              <w:ind w:firstLine="480" w:firstLineChars="200"/>
              <w:rPr>
                <w:sz w:val="24"/>
              </w:rPr>
            </w:pPr>
            <w:r>
              <w:rPr>
                <w:sz w:val="24"/>
              </w:rPr>
              <w:t>式1中，[λ]矩阵由镜像原理求得。地面为电位等于零的平面，地面的感应电荷可由对应地面导线的镜像电荷代替，用i，j……表示相互平行的实际导线，用i＇，j＇……表示它们的镜像，则电位系数为：</w:t>
            </w:r>
          </w:p>
          <w:p>
            <w:pPr>
              <w:spacing w:before="120" w:line="540" w:lineRule="atLeast"/>
              <w:ind w:firstLine="480" w:firstLineChars="200"/>
              <w:rPr>
                <w:sz w:val="24"/>
              </w:rPr>
            </w:pPr>
            <w:r>
              <w:rPr>
                <w:position w:val="-28"/>
                <w:sz w:val="24"/>
              </w:rPr>
              <w:object>
                <v:shape id="_x0000_i1029" o:spt="75" type="#_x0000_t75" style="height:36pt;width:89.95pt;" o:ole="t" filled="f" o:preferrelative="t" stroked="f" coordsize="21600,21600">
                  <v:path/>
                  <v:fill on="f" focussize="0,0"/>
                  <v:stroke on="f"/>
                  <v:imagedata r:id="rId19" o:title=""/>
                  <o:lock v:ext="edit" grouping="f" rotation="f" text="f" aspectratio="t"/>
                  <w10:wrap type="none"/>
                  <w10:anchorlock/>
                </v:shape>
                <o:OLEObject Type="Embed" ProgID="Equation.2" ShapeID="_x0000_i1029" DrawAspect="Content" ObjectID="_1468075730" r:id="rId18">
                  <o:LockedField>false</o:LockedField>
                </o:OLEObject>
              </w:object>
            </w:r>
            <w:r>
              <w:rPr>
                <w:sz w:val="24"/>
              </w:rPr>
              <w:t>........(2)</w:t>
            </w:r>
          </w:p>
          <w:p>
            <w:pPr>
              <w:spacing w:before="120" w:after="120" w:line="540" w:lineRule="atLeast"/>
              <w:ind w:firstLine="480" w:firstLineChars="200"/>
              <w:rPr>
                <w:sz w:val="24"/>
              </w:rPr>
            </w:pPr>
            <w:r>
              <w:rPr>
                <w:position w:val="-30"/>
                <w:sz w:val="24"/>
              </w:rPr>
              <w:object>
                <v:shape id="_x0000_i1030" o:spt="75" type="#_x0000_t75" style="height:41.25pt;width:85.5pt;" o:ole="t" filled="f" o:preferrelative="t" stroked="f" coordsize="21600,21600">
                  <v:path/>
                  <v:fill on="f" focussize="0,0"/>
                  <v:stroke on="f"/>
                  <v:imagedata r:id="rId21" o:title=""/>
                  <o:lock v:ext="edit" grouping="f" rotation="f" text="f" aspectratio="t"/>
                  <w10:wrap type="none"/>
                  <w10:anchorlock/>
                </v:shape>
                <o:OLEObject Type="Embed" ProgID="Equation.2" ShapeID="_x0000_i1030" DrawAspect="Content" ObjectID="_1468075731" r:id="rId20">
                  <o:LockedField>false</o:LockedField>
                </o:OLEObject>
              </w:object>
            </w:r>
            <w:r>
              <w:rPr>
                <w:sz w:val="24"/>
              </w:rPr>
              <w:t>.........(3)</w:t>
            </w:r>
          </w:p>
          <w:p>
            <w:pPr>
              <w:spacing w:after="120" w:line="540" w:lineRule="atLeast"/>
              <w:ind w:firstLine="480" w:firstLineChars="200"/>
              <w:rPr>
                <w:sz w:val="24"/>
              </w:rPr>
            </w:pPr>
            <w:r>
              <w:rPr>
                <w:position w:val="-14"/>
                <w:sz w:val="24"/>
              </w:rPr>
              <w:object>
                <v:shape id="_x0000_i1031" o:spt="75" type="#_x0000_t75" style="height:21.75pt;width:50.25pt;" o:ole="t" filled="f" o:preferrelative="t" stroked="f" coordsize="21600,21600">
                  <v:path/>
                  <v:fill on="f" focussize="0,0"/>
                  <v:stroke on="f"/>
                  <v:imagedata r:id="rId23" o:title=""/>
                  <o:lock v:ext="edit" grouping="f" rotation="f" text="f" aspectratio="t"/>
                  <w10:wrap type="none"/>
                  <w10:anchorlock/>
                </v:shape>
                <o:OLEObject Type="Embed" ProgID="Equation.2" ShapeID="_x0000_i1031" DrawAspect="Content" ObjectID="_1468075732" r:id="rId22">
                  <o:LockedField>false</o:LockedField>
                </o:OLEObject>
              </w:object>
            </w:r>
            <w:r>
              <w:rPr>
                <w:sz w:val="24"/>
              </w:rPr>
              <w:t xml:space="preserve">     .........(4)</w:t>
            </w:r>
          </w:p>
          <w:p>
            <w:pPr>
              <w:spacing w:line="500" w:lineRule="atLeast"/>
              <w:ind w:firstLine="480" w:firstLineChars="200"/>
              <w:rPr>
                <w:sz w:val="24"/>
              </w:rPr>
            </w:pPr>
            <w:r>
              <w:rPr>
                <w:sz w:val="24"/>
              </w:rPr>
              <w:t>上式中：</w:t>
            </w:r>
            <w:r>
              <w:rPr>
                <w:spacing w:val="-54"/>
                <w:sz w:val="24"/>
              </w:rPr>
              <w:t>ε</w:t>
            </w:r>
            <w:r>
              <w:rPr>
                <w:spacing w:val="-40"/>
                <w:sz w:val="24"/>
                <w:vertAlign w:val="subscript"/>
              </w:rPr>
              <w:t xml:space="preserve">o  </w:t>
            </w:r>
            <w:r>
              <w:rPr>
                <w:sz w:val="24"/>
              </w:rPr>
              <w:t>---空气介电常数（</w:t>
            </w:r>
            <w:r>
              <w:rPr>
                <w:position w:val="-22"/>
                <w:sz w:val="24"/>
              </w:rPr>
              <w:object>
                <v:shape id="_x0000_i1032" o:spt="75" type="#_x0000_t75" style="height:33.75pt;width:113.3pt;" o:ole="t" filled="f" o:preferrelative="t" stroked="f" coordsize="21600,21600">
                  <v:path/>
                  <v:fill on="f" focussize="0,0"/>
                  <v:stroke on="f"/>
                  <v:imagedata r:id="rId25" o:title=""/>
                  <o:lock v:ext="edit" grouping="f" rotation="f" text="f" aspectratio="t"/>
                  <w10:wrap type="none"/>
                  <w10:anchorlock/>
                </v:shape>
                <o:OLEObject Type="Embed" ProgID="Equation.2" ShapeID="_x0000_i1032" DrawAspect="Content" ObjectID="_1468075733" r:id="rId24">
                  <o:LockedField>false</o:LockedField>
                </o:OLEObject>
              </w:object>
            </w:r>
            <w:r>
              <w:rPr>
                <w:sz w:val="24"/>
              </w:rPr>
              <w:t>）；</w:t>
            </w:r>
          </w:p>
          <w:p>
            <w:pPr>
              <w:spacing w:line="500" w:lineRule="atLeast"/>
              <w:rPr>
                <w:sz w:val="24"/>
              </w:rPr>
            </w:pPr>
            <w:r>
              <w:rPr>
                <w:sz w:val="24"/>
              </w:rPr>
              <w:t xml:space="preserve">            R</w:t>
            </w:r>
            <w:r>
              <w:rPr>
                <w:sz w:val="24"/>
                <w:vertAlign w:val="subscript"/>
              </w:rPr>
              <w:t>i</w:t>
            </w:r>
            <w:r>
              <w:rPr>
                <w:sz w:val="24"/>
              </w:rPr>
              <w:t>---导线半径，对于分裂导线用等效单根导线半径代入。</w:t>
            </w:r>
          </w:p>
          <w:p>
            <w:pPr>
              <w:spacing w:before="120" w:after="120" w:line="540" w:lineRule="atLeast"/>
              <w:ind w:firstLine="600" w:firstLineChars="250"/>
              <w:rPr>
                <w:sz w:val="24"/>
              </w:rPr>
            </w:pPr>
            <w:r>
              <w:rPr>
                <w:position w:val="-24"/>
                <w:sz w:val="24"/>
              </w:rPr>
              <w:object>
                <v:shape id="_x0000_i1033" o:spt="75" type="#_x0000_t75" style="height:40.5pt;width:84.8pt;" o:ole="t" filled="f" o:preferrelative="t" stroked="f" coordsize="21600,21600">
                  <v:path/>
                  <v:fill on="f" focussize="0,0"/>
                  <v:stroke on="f"/>
                  <v:imagedata r:id="rId27" o:title=""/>
                  <o:lock v:ext="edit" grouping="f" rotation="f" text="f" aspectratio="t"/>
                  <w10:wrap type="none"/>
                  <w10:anchorlock/>
                </v:shape>
                <o:OLEObject Type="Embed" ProgID="Equation.2" ShapeID="_x0000_i1033" DrawAspect="Content" ObjectID="_1468075734" r:id="rId26">
                  <o:LockedField>false</o:LockedField>
                </o:OLEObject>
              </w:object>
            </w:r>
            <w:r>
              <w:rPr>
                <w:sz w:val="24"/>
              </w:rPr>
              <w:t xml:space="preserve"> ..........(5)</w:t>
            </w:r>
          </w:p>
          <w:p>
            <w:pPr>
              <w:spacing w:line="540" w:lineRule="atLeast"/>
              <w:ind w:firstLine="600" w:firstLineChars="250"/>
              <w:rPr>
                <w:sz w:val="24"/>
              </w:rPr>
            </w:pPr>
            <w:r>
              <w:rPr>
                <w:sz w:val="24"/>
              </w:rPr>
              <w:t>式5中，R---分裂导线半径；</w:t>
            </w:r>
          </w:p>
          <w:p>
            <w:pPr>
              <w:spacing w:line="540" w:lineRule="atLeast"/>
              <w:ind w:firstLine="1560" w:firstLineChars="650"/>
              <w:rPr>
                <w:sz w:val="24"/>
              </w:rPr>
            </w:pPr>
            <w:r>
              <w:rPr>
                <w:sz w:val="24"/>
              </w:rPr>
              <w:t>η---次导线根数；</w:t>
            </w:r>
          </w:p>
          <w:p>
            <w:pPr>
              <w:spacing w:line="540" w:lineRule="atLeast"/>
              <w:ind w:firstLine="1560" w:firstLineChars="650"/>
              <w:rPr>
                <w:sz w:val="24"/>
              </w:rPr>
            </w:pPr>
            <w:r>
              <w:rPr>
                <w:sz w:val="24"/>
              </w:rPr>
              <w:t>r---次导线半径。</w:t>
            </w:r>
          </w:p>
          <w:p>
            <w:pPr>
              <w:spacing w:line="540" w:lineRule="atLeast"/>
              <w:jc w:val="center"/>
              <w:rPr>
                <w:sz w:val="24"/>
              </w:rPr>
            </w:pPr>
            <w:r>
              <w:rPr>
                <w:sz w:val="24"/>
              </w:rPr>
              <w:object>
                <v:shape id="_x0000_i1034" o:spt="75" type="#_x0000_t75" style="height:216pt;width:200.15pt;" o:ole="t" filled="f" o:preferrelative="t" stroked="f" coordsize="21600,21600">
                  <v:path/>
                  <v:fill on="f" focussize="0,0"/>
                  <v:stroke on="f"/>
                  <v:imagedata r:id="rId29" o:title=""/>
                  <o:lock v:ext="edit" grouping="f" rotation="f" text="f" aspectratio="t"/>
                  <w10:wrap type="none"/>
                  <w10:anchorlock/>
                </v:shape>
                <o:OLEObject Type="Embed" ProgID="Word.Picture.8" ShapeID="_x0000_i1034" DrawAspect="Content" ObjectID="_1468075735" r:id="rId28">
                  <o:LockedField>false</o:LockedField>
                </o:OLEObject>
              </w:object>
            </w:r>
          </w:p>
          <w:p>
            <w:pPr>
              <w:tabs>
                <w:tab w:val="left" w:pos="700"/>
              </w:tabs>
              <w:spacing w:line="500" w:lineRule="exact"/>
              <w:jc w:val="center"/>
              <w:rPr>
                <w:sz w:val="24"/>
              </w:rPr>
            </w:pPr>
            <w:r>
              <w:rPr>
                <w:b/>
                <w:szCs w:val="21"/>
              </w:rPr>
              <w:t>图3  电位系数计算图</w:t>
            </w:r>
          </w:p>
          <w:p>
            <w:pPr>
              <w:spacing w:line="480" w:lineRule="atLeast"/>
              <w:ind w:firstLine="480" w:firstLineChars="200"/>
              <w:rPr>
                <w:sz w:val="24"/>
              </w:rPr>
            </w:pPr>
            <w:r>
              <w:rPr>
                <w:sz w:val="24"/>
              </w:rPr>
              <w:t>对于三相交流线路，由于电压为时间向量，计算各相导线的电压时用复数表示为：</w:t>
            </w:r>
          </w:p>
          <w:p>
            <w:pPr>
              <w:spacing w:before="120" w:after="120" w:line="480" w:lineRule="atLeast"/>
              <w:ind w:firstLine="480" w:firstLineChars="200"/>
              <w:rPr>
                <w:sz w:val="24"/>
              </w:rPr>
            </w:pPr>
            <w:r>
              <w:rPr>
                <w:position w:val="-10"/>
                <w:sz w:val="24"/>
              </w:rPr>
              <w:object>
                <v:shape id="_x0000_i1035" o:spt="75" type="#_x0000_t75" style="height:20.25pt;width:86.2pt;" o:ole="t" filled="f" o:preferrelative="t" stroked="f" coordsize="21600,21600">
                  <v:path/>
                  <v:fill on="f" focussize="0,0"/>
                  <v:stroke on="f"/>
                  <v:imagedata r:id="rId31" o:title=""/>
                  <o:lock v:ext="edit" grouping="f" rotation="f" text="f" aspectratio="t"/>
                  <w10:wrap type="none"/>
                  <w10:anchorlock/>
                </v:shape>
                <o:OLEObject Type="Embed" ProgID="Equation.2" ShapeID="_x0000_i1035" DrawAspect="Content" ObjectID="_1468075736" r:id="rId30">
                  <o:LockedField>false</o:LockedField>
                </o:OLEObject>
              </w:object>
            </w:r>
            <w:r>
              <w:rPr>
                <w:sz w:val="24"/>
              </w:rPr>
              <w:t>...........(6)</w:t>
            </w:r>
          </w:p>
          <w:p>
            <w:pPr>
              <w:spacing w:line="480" w:lineRule="atLeast"/>
              <w:ind w:firstLine="480" w:firstLineChars="200"/>
              <w:rPr>
                <w:sz w:val="24"/>
              </w:rPr>
            </w:pPr>
            <w:r>
              <w:rPr>
                <w:sz w:val="24"/>
              </w:rPr>
              <w:t>相应地电荷也是复数量：</w:t>
            </w:r>
          </w:p>
          <w:p>
            <w:pPr>
              <w:spacing w:before="120" w:after="120" w:line="480" w:lineRule="atLeast"/>
              <w:ind w:firstLine="480" w:firstLineChars="200"/>
              <w:rPr>
                <w:sz w:val="24"/>
              </w:rPr>
            </w:pPr>
            <w:r>
              <w:rPr>
                <w:position w:val="-10"/>
                <w:sz w:val="24"/>
              </w:rPr>
              <w:object>
                <v:shape id="_x0000_i1036" o:spt="75" type="#_x0000_t75" style="height:20.25pt;width:81.05pt;" o:ole="t" filled="f" o:preferrelative="t" stroked="f" coordsize="21600,21600">
                  <v:path/>
                  <v:fill on="f" focussize="0,0"/>
                  <v:stroke on="f"/>
                  <v:imagedata r:id="rId33" o:title=""/>
                  <o:lock v:ext="edit" grouping="f" rotation="f" text="f" aspectratio="t"/>
                  <w10:wrap type="none"/>
                  <w10:anchorlock/>
                </v:shape>
                <o:OLEObject Type="Embed" ProgID="Equation.2" ShapeID="_x0000_i1036" DrawAspect="Content" ObjectID="_1468075737" r:id="rId32">
                  <o:LockedField>false</o:LockedField>
                </o:OLEObject>
              </w:object>
            </w:r>
            <w:r>
              <w:rPr>
                <w:sz w:val="24"/>
              </w:rPr>
              <w:t>...........（7)</w:t>
            </w:r>
          </w:p>
          <w:p>
            <w:pPr>
              <w:spacing w:line="480" w:lineRule="atLeast"/>
              <w:ind w:firstLine="480" w:firstLineChars="200"/>
              <w:rPr>
                <w:sz w:val="24"/>
              </w:rPr>
            </w:pPr>
            <w:r>
              <w:rPr>
                <w:sz w:val="24"/>
              </w:rPr>
              <w:t>式1矩阵关系即分别表示了复数量的实数和虚数两部分：</w:t>
            </w:r>
          </w:p>
          <w:p>
            <w:pPr>
              <w:spacing w:before="120" w:after="120" w:line="480" w:lineRule="atLeast"/>
              <w:ind w:firstLine="480" w:firstLineChars="200"/>
              <w:rPr>
                <w:sz w:val="24"/>
              </w:rPr>
            </w:pPr>
            <w:r>
              <w:rPr>
                <w:position w:val="-10"/>
                <w:sz w:val="24"/>
              </w:rPr>
              <w:object>
                <v:shape id="_x0000_i1037" o:spt="75" type="#_x0000_t75" style="height:18pt;width:87pt;" o:ole="t" filled="f" o:preferrelative="t" stroked="f" coordsize="21600,21600">
                  <v:path/>
                  <v:fill on="f" focussize="0,0"/>
                  <v:stroke on="f"/>
                  <v:imagedata r:id="rId35" o:title=""/>
                  <o:lock v:ext="edit" grouping="f" rotation="f" text="f" aspectratio="t"/>
                  <w10:wrap type="none"/>
                  <w10:anchorlock/>
                </v:shape>
                <o:OLEObject Type="Embed" ProgID="Equation.2" ShapeID="_x0000_i1037" DrawAspect="Content" ObjectID="_1468075738" r:id="rId34">
                  <o:LockedField>false</o:LockedField>
                </o:OLEObject>
              </w:object>
            </w:r>
            <w:r>
              <w:rPr>
                <w:sz w:val="24"/>
              </w:rPr>
              <w:t>...........(8)</w:t>
            </w:r>
          </w:p>
          <w:p>
            <w:pPr>
              <w:spacing w:before="120" w:after="120" w:line="480" w:lineRule="atLeast"/>
              <w:ind w:firstLine="480" w:firstLineChars="200"/>
              <w:rPr>
                <w:sz w:val="24"/>
              </w:rPr>
            </w:pPr>
            <w:r>
              <w:rPr>
                <w:position w:val="-10"/>
                <w:sz w:val="24"/>
              </w:rPr>
              <w:object>
                <v:shape id="_x0000_i1038" o:spt="75" type="#_x0000_t75" style="height:18pt;width:88.45pt;" o:ole="t" filled="f" o:preferrelative="t" stroked="f" coordsize="21600,21600">
                  <v:path/>
                  <v:fill on="f" focussize="0,0"/>
                  <v:stroke on="f"/>
                  <v:imagedata r:id="rId37" o:title=""/>
                  <o:lock v:ext="edit" grouping="f" rotation="f" text="f" aspectratio="t"/>
                  <w10:wrap type="none"/>
                  <w10:anchorlock/>
                </v:shape>
                <o:OLEObject Type="Embed" ProgID="Equation.2" ShapeID="_x0000_i1038" DrawAspect="Content" ObjectID="_1468075739" r:id="rId36">
                  <o:LockedField>false</o:LockedField>
                </o:OLEObject>
              </w:object>
            </w:r>
            <w:r>
              <w:rPr>
                <w:sz w:val="24"/>
              </w:rPr>
              <w:t>...........(9)</w:t>
            </w:r>
          </w:p>
          <w:p>
            <w:pPr>
              <w:spacing w:line="480" w:lineRule="atLeast"/>
              <w:ind w:firstLine="480" w:firstLineChars="200"/>
              <w:rPr>
                <w:sz w:val="24"/>
              </w:rPr>
            </w:pPr>
            <w:r>
              <w:rPr>
                <w:rFonts w:ascii="宋体"/>
                <w:sz w:val="24"/>
              </w:rPr>
              <w:t>②</w:t>
            </w:r>
            <w:r>
              <w:rPr>
                <w:sz w:val="24"/>
              </w:rPr>
              <w:t>等效电荷产生的电场计算</w:t>
            </w:r>
          </w:p>
          <w:p>
            <w:pPr>
              <w:spacing w:line="480" w:lineRule="atLeast"/>
              <w:ind w:firstLine="480" w:firstLineChars="200"/>
              <w:rPr>
                <w:sz w:val="24"/>
              </w:rPr>
            </w:pPr>
            <w:r>
              <w:rPr>
                <w:sz w:val="24"/>
              </w:rPr>
              <w:t>空间任意一点（档距中央）的电场强度根据叠加原理求得，在（x,y）点的电场强度Ex和Ey分别为：</w:t>
            </w:r>
          </w:p>
          <w:p>
            <w:pPr>
              <w:spacing w:before="120" w:after="120" w:line="480" w:lineRule="atLeast"/>
              <w:ind w:firstLine="480" w:firstLineChars="200"/>
              <w:rPr>
                <w:sz w:val="24"/>
              </w:rPr>
            </w:pPr>
            <w:r>
              <w:rPr>
                <w:position w:val="-28"/>
                <w:sz w:val="24"/>
              </w:rPr>
              <w:object>
                <v:shape id="_x0000_i1039" o:spt="75" type="#_x0000_t75" style="height:42.75pt;width:194.3pt;" o:ole="t" filled="f" o:preferrelative="t" stroked="f" coordsize="21600,21600">
                  <v:path/>
                  <v:fill on="f" focussize="0,0"/>
                  <v:stroke on="f"/>
                  <v:imagedata r:id="rId39" o:title=""/>
                  <o:lock v:ext="edit" grouping="f" rotation="f" text="f" aspectratio="t"/>
                  <w10:wrap type="none"/>
                  <w10:anchorlock/>
                </v:shape>
                <o:OLEObject Type="Embed" ProgID="Equation.2" ShapeID="_x0000_i1039" DrawAspect="Content" ObjectID="_1468075740" r:id="rId38">
                  <o:LockedField>false</o:LockedField>
                </o:OLEObject>
              </w:object>
            </w:r>
            <w:r>
              <w:rPr>
                <w:sz w:val="24"/>
              </w:rPr>
              <w:t>...........(10)</w:t>
            </w:r>
          </w:p>
          <w:p>
            <w:pPr>
              <w:spacing w:before="120" w:after="120" w:line="480" w:lineRule="atLeast"/>
              <w:ind w:firstLine="480" w:firstLineChars="200"/>
              <w:rPr>
                <w:sz w:val="24"/>
              </w:rPr>
            </w:pPr>
            <w:r>
              <w:rPr>
                <w:position w:val="-30"/>
                <w:sz w:val="24"/>
              </w:rPr>
              <w:object>
                <v:shape id="_x0000_i1040" o:spt="75" type="#_x0000_t75" style="height:42.75pt;width:200.25pt;" o:ole="t" filled="f" o:preferrelative="t" stroked="f" coordsize="21600,21600">
                  <v:path/>
                  <v:fill on="f" focussize="0,0"/>
                  <v:stroke on="f"/>
                  <v:imagedata r:id="rId41" o:title=""/>
                  <o:lock v:ext="edit" grouping="f" rotation="f" text="f" aspectratio="t"/>
                  <w10:wrap type="none"/>
                  <w10:anchorlock/>
                </v:shape>
                <o:OLEObject Type="Embed" ProgID="Equation.2" ShapeID="_x0000_i1040" DrawAspect="Content" ObjectID="_1468075741" r:id="rId40">
                  <o:LockedField>false</o:LockedField>
                </o:OLEObject>
              </w:object>
            </w:r>
            <w:r>
              <w:rPr>
                <w:sz w:val="24"/>
              </w:rPr>
              <w:t>...........(11)</w:t>
            </w:r>
          </w:p>
          <w:p>
            <w:pPr>
              <w:spacing w:line="480" w:lineRule="atLeast"/>
              <w:ind w:firstLine="480" w:firstLineChars="200"/>
              <w:rPr>
                <w:sz w:val="24"/>
              </w:rPr>
            </w:pPr>
            <w:r>
              <w:rPr>
                <w:sz w:val="24"/>
              </w:rPr>
              <w:t>式中：x</w:t>
            </w:r>
            <w:r>
              <w:rPr>
                <w:sz w:val="24"/>
                <w:vertAlign w:val="subscript"/>
              </w:rPr>
              <w:t>i</w:t>
            </w:r>
            <w:r>
              <w:rPr>
                <w:sz w:val="24"/>
              </w:rPr>
              <w:t>、y</w:t>
            </w:r>
            <w:r>
              <w:rPr>
                <w:sz w:val="24"/>
                <w:vertAlign w:val="subscript"/>
              </w:rPr>
              <w:t>j</w:t>
            </w:r>
            <w:r>
              <w:rPr>
                <w:sz w:val="24"/>
              </w:rPr>
              <w:t>---导线i的坐标（i=1,2,......m）；</w:t>
            </w:r>
          </w:p>
          <w:p>
            <w:pPr>
              <w:spacing w:line="480" w:lineRule="atLeast"/>
              <w:ind w:firstLine="1200" w:firstLineChars="500"/>
              <w:rPr>
                <w:sz w:val="24"/>
              </w:rPr>
            </w:pPr>
            <w:r>
              <w:rPr>
                <w:sz w:val="24"/>
              </w:rPr>
              <w:t>m---导线数目；</w:t>
            </w:r>
          </w:p>
          <w:p>
            <w:pPr>
              <w:spacing w:line="480" w:lineRule="atLeast"/>
              <w:ind w:firstLine="1200" w:firstLineChars="500"/>
              <w:rPr>
                <w:sz w:val="24"/>
              </w:rPr>
            </w:pPr>
            <w:r>
              <w:rPr>
                <w:sz w:val="24"/>
              </w:rPr>
              <w:t>L</w:t>
            </w:r>
            <w:r>
              <w:rPr>
                <w:sz w:val="24"/>
                <w:vertAlign w:val="subscript"/>
              </w:rPr>
              <w:t>i</w:t>
            </w:r>
            <w:r>
              <w:rPr>
                <w:sz w:val="24"/>
              </w:rPr>
              <w:t>，L</w:t>
            </w:r>
            <w:r>
              <w:rPr>
                <w:spacing w:val="-144"/>
                <w:sz w:val="24"/>
              </w:rPr>
              <w:t>＇</w:t>
            </w:r>
            <w:r>
              <w:rPr>
                <w:sz w:val="24"/>
                <w:vertAlign w:val="subscript"/>
              </w:rPr>
              <w:t>ij</w:t>
            </w:r>
            <w:r>
              <w:rPr>
                <w:sz w:val="24"/>
              </w:rPr>
              <w:t>---分别为导线i及其镜像至计算点的距离。</w:t>
            </w:r>
          </w:p>
          <w:p>
            <w:pPr>
              <w:spacing w:line="480" w:lineRule="atLeast"/>
              <w:ind w:firstLine="600" w:firstLineChars="250"/>
              <w:rPr>
                <w:sz w:val="24"/>
              </w:rPr>
            </w:pPr>
            <w:r>
              <w:rPr>
                <w:sz w:val="24"/>
              </w:rPr>
              <w:t>对于本项目220kV三相交流线路，根据式8和9求得的电荷计算空间任一点电场强度的水平和垂直分量为：</w:t>
            </w:r>
          </w:p>
          <w:p>
            <w:pPr>
              <w:spacing w:line="480" w:lineRule="atLeast"/>
              <w:rPr>
                <w:sz w:val="24"/>
              </w:rPr>
            </w:pPr>
            <w:r>
              <w:rPr>
                <w:position w:val="-44"/>
                <w:sz w:val="24"/>
              </w:rPr>
              <w:object>
                <v:shape id="_x0000_i1041" o:spt="75" type="#_x0000_t75" style="height:65.25pt;width:146.9pt;" o:ole="t" filled="f" o:preferrelative="t" stroked="f" coordsize="21600,21600">
                  <v:path/>
                  <v:fill on="f" focussize="0,0"/>
                  <v:stroke on="f"/>
                  <v:imagedata r:id="rId43" o:title=""/>
                  <o:lock v:ext="edit" grouping="f" rotation="f" text="f" aspectratio="t"/>
                  <w10:wrap type="none"/>
                  <w10:anchorlock/>
                </v:shape>
                <o:OLEObject Type="Embed" ProgID="Equation.2" ShapeID="_x0000_i1041" DrawAspect="Content" ObjectID="_1468075742" r:id="rId42">
                  <o:LockedField>false</o:LockedField>
                </o:OLEObject>
              </w:object>
            </w:r>
            <w:r>
              <w:rPr>
                <w:sz w:val="24"/>
              </w:rPr>
              <w:t xml:space="preserve">    ...........(12)</w:t>
            </w:r>
          </w:p>
          <w:p>
            <w:pPr>
              <w:spacing w:before="240" w:line="480" w:lineRule="atLeast"/>
              <w:ind w:firstLine="840" w:firstLineChars="350"/>
              <w:rPr>
                <w:sz w:val="24"/>
              </w:rPr>
            </w:pPr>
            <w:r>
              <w:rPr>
                <w:position w:val="-48"/>
                <w:sz w:val="24"/>
              </w:rPr>
              <w:object>
                <v:shape id="_x0000_i1042" o:spt="75" type="#_x0000_t75" style="height:70.5pt;width:140.9pt;" o:ole="t" filled="f" o:preferrelative="t" stroked="f" coordsize="21600,21600">
                  <v:path/>
                  <v:fill on="f" focussize="0,0"/>
                  <v:stroke on="f"/>
                  <v:imagedata r:id="rId45" o:title=""/>
                  <o:lock v:ext="edit" grouping="f" rotation="f" text="f" aspectratio="t"/>
                  <w10:wrap type="none"/>
                  <w10:anchorlock/>
                </v:shape>
                <o:OLEObject Type="Embed" ProgID="Equation.3" ShapeID="_x0000_i1042" DrawAspect="Content" ObjectID="_1468075743" r:id="rId44">
                  <o:LockedField>false</o:LockedField>
                </o:OLEObject>
              </w:object>
            </w:r>
            <w:r>
              <w:rPr>
                <w:sz w:val="24"/>
              </w:rPr>
              <w:t xml:space="preserve">    ...........(13)</w:t>
            </w:r>
          </w:p>
          <w:p>
            <w:pPr>
              <w:spacing w:line="500" w:lineRule="exact"/>
              <w:ind w:firstLine="600" w:firstLineChars="250"/>
              <w:rPr>
                <w:sz w:val="24"/>
              </w:rPr>
            </w:pPr>
            <w:r>
              <w:rPr>
                <w:sz w:val="24"/>
              </w:rPr>
              <w:t>式中：E</w:t>
            </w:r>
            <w:r>
              <w:rPr>
                <w:sz w:val="24"/>
                <w:vertAlign w:val="subscript"/>
              </w:rPr>
              <w:t>XR</w:t>
            </w:r>
            <w:r>
              <w:rPr>
                <w:sz w:val="24"/>
              </w:rPr>
              <w:t>---由各导线的实部电荷在该点产生的场强的水平分量；</w:t>
            </w:r>
          </w:p>
          <w:p>
            <w:pPr>
              <w:spacing w:line="500" w:lineRule="exact"/>
              <w:ind w:firstLine="1320" w:firstLineChars="550"/>
              <w:rPr>
                <w:sz w:val="24"/>
              </w:rPr>
            </w:pPr>
            <w:r>
              <w:rPr>
                <w:sz w:val="24"/>
              </w:rPr>
              <w:t>E</w:t>
            </w:r>
            <w:r>
              <w:rPr>
                <w:sz w:val="24"/>
                <w:vertAlign w:val="subscript"/>
              </w:rPr>
              <w:t>XI</w:t>
            </w:r>
            <w:r>
              <w:rPr>
                <w:sz w:val="24"/>
              </w:rPr>
              <w:t>---由各导线的虚部电荷在该点产生的场强的水平分量；</w:t>
            </w:r>
          </w:p>
          <w:p>
            <w:pPr>
              <w:spacing w:line="500" w:lineRule="exact"/>
              <w:ind w:firstLine="1320" w:firstLineChars="550"/>
              <w:rPr>
                <w:sz w:val="24"/>
              </w:rPr>
            </w:pPr>
            <w:r>
              <w:rPr>
                <w:sz w:val="24"/>
              </w:rPr>
              <w:t>E</w:t>
            </w:r>
            <w:r>
              <w:rPr>
                <w:sz w:val="24"/>
                <w:vertAlign w:val="subscript"/>
              </w:rPr>
              <w:t>YR</w:t>
            </w:r>
            <w:r>
              <w:rPr>
                <w:sz w:val="24"/>
              </w:rPr>
              <w:t>---由各导线的实部电荷在该点产生场强的垂直分量；</w:t>
            </w:r>
          </w:p>
          <w:p>
            <w:pPr>
              <w:spacing w:line="500" w:lineRule="exact"/>
              <w:ind w:firstLine="1320" w:firstLineChars="550"/>
              <w:rPr>
                <w:sz w:val="24"/>
              </w:rPr>
            </w:pPr>
            <w:r>
              <w:rPr>
                <w:sz w:val="24"/>
              </w:rPr>
              <w:t>E</w:t>
            </w:r>
            <w:r>
              <w:rPr>
                <w:sz w:val="24"/>
                <w:vertAlign w:val="subscript"/>
              </w:rPr>
              <w:t>YI</w:t>
            </w:r>
            <w:r>
              <w:rPr>
                <w:sz w:val="24"/>
              </w:rPr>
              <w:t>---由各导线的虚部电荷在该点产生场强的垂直分量。</w:t>
            </w:r>
          </w:p>
          <w:p>
            <w:pPr>
              <w:spacing w:line="480" w:lineRule="atLeast"/>
              <w:ind w:firstLine="480" w:firstLineChars="200"/>
              <w:rPr>
                <w:sz w:val="24"/>
              </w:rPr>
            </w:pPr>
            <w:r>
              <w:rPr>
                <w:sz w:val="24"/>
              </w:rPr>
              <w:t>（x,y）点的合成场强为：</w:t>
            </w:r>
          </w:p>
          <w:p>
            <w:pPr>
              <w:spacing w:before="120" w:after="120" w:line="480" w:lineRule="atLeast"/>
              <w:ind w:firstLine="840" w:firstLineChars="350"/>
              <w:rPr>
                <w:sz w:val="24"/>
              </w:rPr>
            </w:pPr>
            <w:r>
              <w:rPr>
                <w:position w:val="-10"/>
                <w:sz w:val="24"/>
              </w:rPr>
              <w:object>
                <v:shape id="_x0000_i1043" o:spt="75" type="#_x0000_t75" style="height:23.25pt;width:270.7pt;" o:ole="t" filled="f" o:preferrelative="t" stroked="f" coordsize="21600,21600">
                  <v:path/>
                  <v:fill on="f" focussize="0,0"/>
                  <v:stroke on="f"/>
                  <v:imagedata r:id="rId47" o:title=""/>
                  <o:lock v:ext="edit" grouping="f" rotation="f" text="f" aspectratio="t"/>
                  <w10:wrap type="none"/>
                  <w10:anchorlock/>
                </v:shape>
                <o:OLEObject Type="Embed" ProgID="Equation.3" ShapeID="_x0000_i1043" DrawAspect="Content" ObjectID="_1468075744" r:id="rId46">
                  <o:LockedField>false</o:LockedField>
                </o:OLEObject>
              </w:object>
            </w:r>
            <w:r>
              <w:rPr>
                <w:sz w:val="24"/>
              </w:rPr>
              <w:t>.........(14)</w:t>
            </w:r>
          </w:p>
          <w:p>
            <w:pPr>
              <w:spacing w:before="120" w:after="120" w:line="480" w:lineRule="atLeast"/>
              <w:ind w:firstLine="600" w:firstLineChars="250"/>
              <w:rPr>
                <w:sz w:val="24"/>
              </w:rPr>
            </w:pPr>
            <w:r>
              <w:rPr>
                <w:sz w:val="24"/>
              </w:rPr>
              <w:t>式中：</w:t>
            </w:r>
            <w:r>
              <w:rPr>
                <w:position w:val="-12"/>
                <w:sz w:val="24"/>
              </w:rPr>
              <w:object>
                <v:shape id="_x0000_i1044" o:spt="75" type="#_x0000_t75" style="height:26.95pt;width:107.25pt;" o:ole="t" filled="f" o:preferrelative="t" stroked="f" coordsize="21600,21600">
                  <v:path/>
                  <v:fill on="f" focussize="0,0"/>
                  <v:stroke on="f"/>
                  <v:imagedata r:id="rId49" o:title=""/>
                  <o:lock v:ext="edit" grouping="f" rotation="f" text="f" aspectratio="t"/>
                  <w10:wrap type="none"/>
                  <w10:anchorlock/>
                </v:shape>
                <o:OLEObject Type="Embed" ProgID="Equation.3" ShapeID="_x0000_i1044" DrawAspect="Content" ObjectID="_1468075745" r:id="rId48">
                  <o:LockedField>false</o:LockedField>
                </o:OLEObject>
              </w:object>
            </w:r>
            <w:r>
              <w:rPr>
                <w:sz w:val="24"/>
              </w:rPr>
              <w:t xml:space="preserve">                ..........(15)</w:t>
            </w:r>
          </w:p>
          <w:p>
            <w:pPr>
              <w:spacing w:line="480" w:lineRule="atLeast"/>
              <w:rPr>
                <w:sz w:val="24"/>
              </w:rPr>
            </w:pPr>
            <w:r>
              <w:rPr>
                <w:sz w:val="24"/>
              </w:rPr>
              <w:t xml:space="preserve">           </w:t>
            </w:r>
            <w:r>
              <w:rPr>
                <w:position w:val="-12"/>
                <w:sz w:val="24"/>
              </w:rPr>
              <w:object>
                <v:shape id="_x0000_i1045" o:spt="75" type="#_x0000_t75" style="height:26.95pt;width:101.25pt;" o:ole="t" filled="f" o:preferrelative="t" stroked="f" coordsize="21600,21600">
                  <v:path/>
                  <v:fill on="f" focussize="0,0"/>
                  <v:stroke on="f"/>
                  <v:imagedata r:id="rId51" o:title=""/>
                  <o:lock v:ext="edit" grouping="f" rotation="f" text="f" aspectratio="t"/>
                  <w10:wrap type="none"/>
                  <w10:anchorlock/>
                </v:shape>
                <o:OLEObject Type="Embed" ProgID="Equation.3" ShapeID="_x0000_i1045" DrawAspect="Content" ObjectID="_1468075746" r:id="rId50">
                  <o:LockedField>false</o:LockedField>
                </o:OLEObject>
              </w:object>
            </w:r>
            <w:r>
              <w:rPr>
                <w:sz w:val="24"/>
              </w:rPr>
              <w:t xml:space="preserve">                 ..........(16)</w:t>
            </w:r>
          </w:p>
          <w:p>
            <w:pPr>
              <w:spacing w:line="480" w:lineRule="atLeast"/>
              <w:ind w:firstLine="480" w:firstLineChars="200"/>
              <w:rPr>
                <w:sz w:val="24"/>
              </w:rPr>
            </w:pPr>
            <w:r>
              <w:rPr>
                <w:sz w:val="24"/>
              </w:rPr>
              <w:t>在地面处（y=0时）电场强度的水平分量取E</w:t>
            </w:r>
            <w:r>
              <w:rPr>
                <w:sz w:val="24"/>
                <w:vertAlign w:val="subscript"/>
              </w:rPr>
              <w:t>X</w:t>
            </w:r>
            <w:r>
              <w:rPr>
                <w:sz w:val="24"/>
              </w:rPr>
              <w:t>=0。</w:t>
            </w:r>
          </w:p>
          <w:p>
            <w:pPr>
              <w:spacing w:line="480" w:lineRule="atLeast"/>
              <w:ind w:firstLine="480" w:firstLineChars="200"/>
              <w:rPr>
                <w:sz w:val="24"/>
              </w:rPr>
            </w:pPr>
            <w:r>
              <w:rPr>
                <w:sz w:val="24"/>
              </w:rPr>
              <w:t>双回工频电场强度计算结果见表1</w:t>
            </w:r>
            <w:r>
              <w:rPr>
                <w:rFonts w:hint="eastAsia"/>
                <w:sz w:val="24"/>
              </w:rPr>
              <w:t>1</w:t>
            </w:r>
            <w:r>
              <w:rPr>
                <w:sz w:val="24"/>
              </w:rPr>
              <w:t>及图4。</w:t>
            </w:r>
          </w:p>
          <w:p>
            <w:pPr>
              <w:tabs>
                <w:tab w:val="left" w:pos="700"/>
              </w:tabs>
              <w:spacing w:line="500" w:lineRule="exact"/>
              <w:jc w:val="center"/>
              <w:rPr>
                <w:sz w:val="24"/>
              </w:rPr>
            </w:pPr>
            <w:r>
              <w:rPr>
                <w:b/>
                <w:szCs w:val="21"/>
              </w:rPr>
              <w:t>表1</w:t>
            </w:r>
            <w:r>
              <w:rPr>
                <w:rFonts w:hint="eastAsia"/>
                <w:b/>
                <w:szCs w:val="21"/>
              </w:rPr>
              <w:t xml:space="preserve">1 </w:t>
            </w:r>
            <w:r>
              <w:rPr>
                <w:b/>
                <w:szCs w:val="21"/>
              </w:rPr>
              <w:t xml:space="preserve"> 双回工频电场强度计算结果</w:t>
            </w:r>
          </w:p>
          <w:tbl>
            <w:tblPr>
              <w:tblStyle w:val="43"/>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2306"/>
              <w:gridCol w:w="2304"/>
              <w:gridCol w:w="1734"/>
              <w:gridCol w:w="1962"/>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widowControl/>
                    <w:spacing w:line="0" w:lineRule="atLeast"/>
                    <w:jc w:val="center"/>
                    <w:rPr>
                      <w:kern w:val="0"/>
                      <w:szCs w:val="21"/>
                    </w:rPr>
                  </w:pPr>
                  <w:r>
                    <w:rPr>
                      <w:kern w:val="0"/>
                      <w:szCs w:val="21"/>
                    </w:rPr>
                    <w:t>到线路中心线投影的距离（m）</w:t>
                  </w:r>
                </w:p>
              </w:tc>
              <w:tc>
                <w:tcPr>
                  <w:tcW w:w="1387" w:type="pct"/>
                  <w:shd w:val="clear" w:color="auto" w:fill="auto"/>
                  <w:noWrap w:val="0"/>
                  <w:vAlign w:val="center"/>
                </w:tcPr>
                <w:p>
                  <w:pPr>
                    <w:widowControl/>
                    <w:spacing w:line="0" w:lineRule="atLeast"/>
                    <w:jc w:val="center"/>
                    <w:rPr>
                      <w:kern w:val="0"/>
                      <w:szCs w:val="21"/>
                    </w:rPr>
                  </w:pPr>
                  <w:r>
                    <w:rPr>
                      <w:kern w:val="0"/>
                      <w:szCs w:val="21"/>
                    </w:rPr>
                    <w:t>1.5米高处电场水平分量(kV/m)</w:t>
                  </w:r>
                </w:p>
              </w:tc>
              <w:tc>
                <w:tcPr>
                  <w:tcW w:w="1044" w:type="pct"/>
                  <w:shd w:val="clear" w:color="auto" w:fill="auto"/>
                  <w:noWrap w:val="0"/>
                  <w:vAlign w:val="center"/>
                </w:tcPr>
                <w:p>
                  <w:pPr>
                    <w:widowControl/>
                    <w:spacing w:line="0" w:lineRule="atLeast"/>
                    <w:jc w:val="center"/>
                    <w:rPr>
                      <w:kern w:val="0"/>
                      <w:szCs w:val="21"/>
                    </w:rPr>
                  </w:pPr>
                  <w:r>
                    <w:rPr>
                      <w:kern w:val="0"/>
                      <w:szCs w:val="21"/>
                    </w:rPr>
                    <w:t>1.5米高处电场垂直分量(kV/m)</w:t>
                  </w:r>
                </w:p>
              </w:tc>
              <w:tc>
                <w:tcPr>
                  <w:tcW w:w="1181" w:type="pct"/>
                  <w:shd w:val="clear" w:color="auto" w:fill="auto"/>
                  <w:noWrap w:val="0"/>
                  <w:vAlign w:val="center"/>
                </w:tcPr>
                <w:p>
                  <w:pPr>
                    <w:widowControl/>
                    <w:spacing w:line="0" w:lineRule="atLeast"/>
                    <w:jc w:val="center"/>
                    <w:rPr>
                      <w:kern w:val="0"/>
                      <w:szCs w:val="21"/>
                    </w:rPr>
                  </w:pPr>
                  <w:r>
                    <w:rPr>
                      <w:kern w:val="0"/>
                      <w:szCs w:val="21"/>
                    </w:rPr>
                    <w:t>1.5米高处电场的综合量(kV/m)</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-40</w:t>
                  </w:r>
                </w:p>
              </w:tc>
              <w:tc>
                <w:tcPr>
                  <w:tcW w:w="1387" w:type="pct"/>
                  <w:shd w:val="clear" w:color="auto" w:fill="auto"/>
                  <w:noWrap w:val="0"/>
                  <w:vAlign w:val="center"/>
                </w:tcPr>
                <w:p>
                  <w:pPr>
                    <w:jc w:val="center"/>
                    <w:rPr>
                      <w:szCs w:val="21"/>
                    </w:rPr>
                  </w:pPr>
                  <w:r>
                    <w:rPr>
                      <w:szCs w:val="21"/>
                    </w:rPr>
                    <w:t>0.004</w:t>
                  </w:r>
                </w:p>
              </w:tc>
              <w:tc>
                <w:tcPr>
                  <w:tcW w:w="1044" w:type="pct"/>
                  <w:shd w:val="clear" w:color="auto" w:fill="auto"/>
                  <w:noWrap w:val="0"/>
                  <w:vAlign w:val="center"/>
                </w:tcPr>
                <w:p>
                  <w:pPr>
                    <w:jc w:val="center"/>
                    <w:rPr>
                      <w:szCs w:val="21"/>
                    </w:rPr>
                  </w:pPr>
                  <w:r>
                    <w:rPr>
                      <w:szCs w:val="21"/>
                    </w:rPr>
                    <w:t>0.224</w:t>
                  </w:r>
                </w:p>
              </w:tc>
              <w:tc>
                <w:tcPr>
                  <w:tcW w:w="1181" w:type="pct"/>
                  <w:shd w:val="clear" w:color="auto" w:fill="auto"/>
                  <w:noWrap w:val="0"/>
                  <w:vAlign w:val="center"/>
                </w:tcPr>
                <w:p>
                  <w:pPr>
                    <w:jc w:val="center"/>
                    <w:rPr>
                      <w:szCs w:val="21"/>
                    </w:rPr>
                  </w:pPr>
                  <w:r>
                    <w:rPr>
                      <w:szCs w:val="21"/>
                    </w:rPr>
                    <w:t>0.224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-35</w:t>
                  </w:r>
                </w:p>
              </w:tc>
              <w:tc>
                <w:tcPr>
                  <w:tcW w:w="1387" w:type="pct"/>
                  <w:shd w:val="clear" w:color="auto" w:fill="auto"/>
                  <w:noWrap w:val="0"/>
                  <w:vAlign w:val="center"/>
                </w:tcPr>
                <w:p>
                  <w:pPr>
                    <w:jc w:val="center"/>
                    <w:rPr>
                      <w:szCs w:val="21"/>
                    </w:rPr>
                  </w:pPr>
                  <w:r>
                    <w:rPr>
                      <w:szCs w:val="21"/>
                    </w:rPr>
                    <w:t>0.01</w:t>
                  </w:r>
                </w:p>
              </w:tc>
              <w:tc>
                <w:tcPr>
                  <w:tcW w:w="1044" w:type="pct"/>
                  <w:shd w:val="clear" w:color="auto" w:fill="auto"/>
                  <w:noWrap w:val="0"/>
                  <w:vAlign w:val="center"/>
                </w:tcPr>
                <w:p>
                  <w:pPr>
                    <w:jc w:val="center"/>
                    <w:rPr>
                      <w:szCs w:val="21"/>
                    </w:rPr>
                  </w:pPr>
                  <w:r>
                    <w:rPr>
                      <w:szCs w:val="21"/>
                    </w:rPr>
                    <w:t>0.218</w:t>
                  </w:r>
                </w:p>
              </w:tc>
              <w:tc>
                <w:tcPr>
                  <w:tcW w:w="1181" w:type="pct"/>
                  <w:shd w:val="clear" w:color="auto" w:fill="auto"/>
                  <w:noWrap w:val="0"/>
                  <w:vAlign w:val="center"/>
                </w:tcPr>
                <w:p>
                  <w:pPr>
                    <w:jc w:val="center"/>
                    <w:rPr>
                      <w:szCs w:val="21"/>
                    </w:rPr>
                  </w:pPr>
                  <w:r>
                    <w:rPr>
                      <w:szCs w:val="21"/>
                    </w:rPr>
                    <w:t>0.218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-30</w:t>
                  </w:r>
                </w:p>
              </w:tc>
              <w:tc>
                <w:tcPr>
                  <w:tcW w:w="1387" w:type="pct"/>
                  <w:shd w:val="clear" w:color="auto" w:fill="auto"/>
                  <w:noWrap w:val="0"/>
                  <w:vAlign w:val="center"/>
                </w:tcPr>
                <w:p>
                  <w:pPr>
                    <w:jc w:val="center"/>
                    <w:rPr>
                      <w:szCs w:val="21"/>
                    </w:rPr>
                  </w:pPr>
                  <w:r>
                    <w:rPr>
                      <w:szCs w:val="21"/>
                    </w:rPr>
                    <w:t>0.029</w:t>
                  </w:r>
                </w:p>
              </w:tc>
              <w:tc>
                <w:tcPr>
                  <w:tcW w:w="1044" w:type="pct"/>
                  <w:shd w:val="clear" w:color="auto" w:fill="auto"/>
                  <w:noWrap w:val="0"/>
                  <w:vAlign w:val="center"/>
                </w:tcPr>
                <w:p>
                  <w:pPr>
                    <w:jc w:val="center"/>
                    <w:rPr>
                      <w:szCs w:val="21"/>
                    </w:rPr>
                  </w:pPr>
                  <w:r>
                    <w:rPr>
                      <w:szCs w:val="21"/>
                    </w:rPr>
                    <w:t>0.169</w:t>
                  </w:r>
                </w:p>
              </w:tc>
              <w:tc>
                <w:tcPr>
                  <w:tcW w:w="1181" w:type="pct"/>
                  <w:shd w:val="clear" w:color="auto" w:fill="auto"/>
                  <w:noWrap w:val="0"/>
                  <w:vAlign w:val="center"/>
                </w:tcPr>
                <w:p>
                  <w:pPr>
                    <w:jc w:val="center"/>
                    <w:rPr>
                      <w:szCs w:val="21"/>
                    </w:rPr>
                  </w:pPr>
                  <w:r>
                    <w:rPr>
                      <w:szCs w:val="21"/>
                    </w:rPr>
                    <w:t>0.172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-25</w:t>
                  </w:r>
                </w:p>
              </w:tc>
              <w:tc>
                <w:tcPr>
                  <w:tcW w:w="1387" w:type="pct"/>
                  <w:shd w:val="clear" w:color="auto" w:fill="auto"/>
                  <w:noWrap w:val="0"/>
                  <w:vAlign w:val="center"/>
                </w:tcPr>
                <w:p>
                  <w:pPr>
                    <w:jc w:val="center"/>
                    <w:rPr>
                      <w:szCs w:val="21"/>
                    </w:rPr>
                  </w:pPr>
                  <w:r>
                    <w:rPr>
                      <w:szCs w:val="21"/>
                    </w:rPr>
                    <w:t>0.076</w:t>
                  </w:r>
                </w:p>
              </w:tc>
              <w:tc>
                <w:tcPr>
                  <w:tcW w:w="1044" w:type="pct"/>
                  <w:shd w:val="clear" w:color="auto" w:fill="auto"/>
                  <w:noWrap w:val="0"/>
                  <w:vAlign w:val="center"/>
                </w:tcPr>
                <w:p>
                  <w:pPr>
                    <w:jc w:val="center"/>
                    <w:rPr>
                      <w:szCs w:val="21"/>
                    </w:rPr>
                  </w:pPr>
                  <w:r>
                    <w:rPr>
                      <w:szCs w:val="21"/>
                    </w:rPr>
                    <w:t>0.066</w:t>
                  </w:r>
                </w:p>
              </w:tc>
              <w:tc>
                <w:tcPr>
                  <w:tcW w:w="1181" w:type="pct"/>
                  <w:shd w:val="clear" w:color="auto" w:fill="auto"/>
                  <w:noWrap w:val="0"/>
                  <w:vAlign w:val="center"/>
                </w:tcPr>
                <w:p>
                  <w:pPr>
                    <w:jc w:val="center"/>
                    <w:rPr>
                      <w:szCs w:val="21"/>
                    </w:rPr>
                  </w:pPr>
                  <w:r>
                    <w:rPr>
                      <w:szCs w:val="21"/>
                    </w:rPr>
                    <w:t>0.101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-20</w:t>
                  </w:r>
                </w:p>
              </w:tc>
              <w:tc>
                <w:tcPr>
                  <w:tcW w:w="1387" w:type="pct"/>
                  <w:shd w:val="clear" w:color="auto" w:fill="auto"/>
                  <w:noWrap w:val="0"/>
                  <w:vAlign w:val="center"/>
                </w:tcPr>
                <w:p>
                  <w:pPr>
                    <w:jc w:val="center"/>
                    <w:rPr>
                      <w:szCs w:val="21"/>
                    </w:rPr>
                  </w:pPr>
                  <w:r>
                    <w:rPr>
                      <w:szCs w:val="21"/>
                    </w:rPr>
                    <w:t>0.178</w:t>
                  </w:r>
                </w:p>
              </w:tc>
              <w:tc>
                <w:tcPr>
                  <w:tcW w:w="1044" w:type="pct"/>
                  <w:shd w:val="clear" w:color="auto" w:fill="auto"/>
                  <w:noWrap w:val="0"/>
                  <w:vAlign w:val="center"/>
                </w:tcPr>
                <w:p>
                  <w:pPr>
                    <w:jc w:val="center"/>
                    <w:rPr>
                      <w:szCs w:val="21"/>
                    </w:rPr>
                  </w:pPr>
                  <w:r>
                    <w:rPr>
                      <w:szCs w:val="21"/>
                    </w:rPr>
                    <w:t>0.394</w:t>
                  </w:r>
                </w:p>
              </w:tc>
              <w:tc>
                <w:tcPr>
                  <w:tcW w:w="1181" w:type="pct"/>
                  <w:shd w:val="clear" w:color="auto" w:fill="auto"/>
                  <w:noWrap w:val="0"/>
                  <w:vAlign w:val="center"/>
                </w:tcPr>
                <w:p>
                  <w:pPr>
                    <w:jc w:val="center"/>
                    <w:rPr>
                      <w:szCs w:val="21"/>
                    </w:rPr>
                  </w:pPr>
                  <w:r>
                    <w:rPr>
                      <w:szCs w:val="21"/>
                    </w:rPr>
                    <w:t>0.433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-15</w:t>
                  </w:r>
                </w:p>
              </w:tc>
              <w:tc>
                <w:tcPr>
                  <w:tcW w:w="1387" w:type="pct"/>
                  <w:shd w:val="clear" w:color="auto" w:fill="auto"/>
                  <w:noWrap w:val="0"/>
                  <w:vAlign w:val="center"/>
                </w:tcPr>
                <w:p>
                  <w:pPr>
                    <w:jc w:val="center"/>
                    <w:rPr>
                      <w:szCs w:val="21"/>
                    </w:rPr>
                  </w:pPr>
                  <w:r>
                    <w:rPr>
                      <w:szCs w:val="21"/>
                    </w:rPr>
                    <w:t>0.35</w:t>
                  </w:r>
                </w:p>
              </w:tc>
              <w:tc>
                <w:tcPr>
                  <w:tcW w:w="1044" w:type="pct"/>
                  <w:shd w:val="clear" w:color="auto" w:fill="auto"/>
                  <w:noWrap w:val="0"/>
                  <w:vAlign w:val="center"/>
                </w:tcPr>
                <w:p>
                  <w:pPr>
                    <w:jc w:val="center"/>
                    <w:rPr>
                      <w:szCs w:val="21"/>
                    </w:rPr>
                  </w:pPr>
                  <w:r>
                    <w:rPr>
                      <w:szCs w:val="21"/>
                    </w:rPr>
                    <w:t>1.24</w:t>
                  </w:r>
                </w:p>
              </w:tc>
              <w:tc>
                <w:tcPr>
                  <w:tcW w:w="1181" w:type="pct"/>
                  <w:shd w:val="clear" w:color="auto" w:fill="auto"/>
                  <w:noWrap w:val="0"/>
                  <w:vAlign w:val="center"/>
                </w:tcPr>
                <w:p>
                  <w:pPr>
                    <w:jc w:val="center"/>
                    <w:rPr>
                      <w:szCs w:val="21"/>
                    </w:rPr>
                  </w:pPr>
                  <w:r>
                    <w:rPr>
                      <w:szCs w:val="21"/>
                    </w:rPr>
                    <w:t>1.288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-10</w:t>
                  </w:r>
                </w:p>
              </w:tc>
              <w:tc>
                <w:tcPr>
                  <w:tcW w:w="1387" w:type="pct"/>
                  <w:shd w:val="clear" w:color="auto" w:fill="auto"/>
                  <w:noWrap w:val="0"/>
                  <w:vAlign w:val="center"/>
                </w:tcPr>
                <w:p>
                  <w:pPr>
                    <w:jc w:val="center"/>
                    <w:rPr>
                      <w:szCs w:val="21"/>
                    </w:rPr>
                  </w:pPr>
                  <w:r>
                    <w:rPr>
                      <w:szCs w:val="21"/>
                    </w:rPr>
                    <w:t>0.419</w:t>
                  </w:r>
                </w:p>
              </w:tc>
              <w:tc>
                <w:tcPr>
                  <w:tcW w:w="1044" w:type="pct"/>
                  <w:shd w:val="clear" w:color="auto" w:fill="auto"/>
                  <w:noWrap w:val="0"/>
                  <w:vAlign w:val="center"/>
                </w:tcPr>
                <w:p>
                  <w:pPr>
                    <w:jc w:val="center"/>
                    <w:rPr>
                      <w:szCs w:val="21"/>
                    </w:rPr>
                  </w:pPr>
                  <w:r>
                    <w:rPr>
                      <w:szCs w:val="21"/>
                    </w:rPr>
                    <w:t>2.618</w:t>
                  </w:r>
                </w:p>
              </w:tc>
              <w:tc>
                <w:tcPr>
                  <w:tcW w:w="1181" w:type="pct"/>
                  <w:shd w:val="clear" w:color="auto" w:fill="auto"/>
                  <w:noWrap w:val="0"/>
                  <w:vAlign w:val="center"/>
                </w:tcPr>
                <w:p>
                  <w:pPr>
                    <w:jc w:val="center"/>
                    <w:rPr>
                      <w:szCs w:val="21"/>
                    </w:rPr>
                  </w:pPr>
                  <w:r>
                    <w:rPr>
                      <w:szCs w:val="21"/>
                    </w:rPr>
                    <w:t>2.652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-5</w:t>
                  </w:r>
                </w:p>
              </w:tc>
              <w:tc>
                <w:tcPr>
                  <w:tcW w:w="1387" w:type="pct"/>
                  <w:shd w:val="clear" w:color="auto" w:fill="auto"/>
                  <w:noWrap w:val="0"/>
                  <w:vAlign w:val="center"/>
                </w:tcPr>
                <w:p>
                  <w:pPr>
                    <w:jc w:val="center"/>
                    <w:rPr>
                      <w:szCs w:val="21"/>
                    </w:rPr>
                  </w:pPr>
                  <w:r>
                    <w:rPr>
                      <w:szCs w:val="21"/>
                    </w:rPr>
                    <w:t>0.133</w:t>
                  </w:r>
                </w:p>
              </w:tc>
              <w:tc>
                <w:tcPr>
                  <w:tcW w:w="1044" w:type="pct"/>
                  <w:shd w:val="clear" w:color="auto" w:fill="auto"/>
                  <w:noWrap w:val="0"/>
                  <w:vAlign w:val="center"/>
                </w:tcPr>
                <w:p>
                  <w:pPr>
                    <w:jc w:val="center"/>
                    <w:rPr>
                      <w:szCs w:val="21"/>
                    </w:rPr>
                  </w:pPr>
                  <w:r>
                    <w:rPr>
                      <w:szCs w:val="21"/>
                    </w:rPr>
                    <w:t>3.599</w:t>
                  </w:r>
                </w:p>
              </w:tc>
              <w:tc>
                <w:tcPr>
                  <w:tcW w:w="1181" w:type="pct"/>
                  <w:shd w:val="clear" w:color="auto" w:fill="auto"/>
                  <w:noWrap w:val="0"/>
                  <w:vAlign w:val="center"/>
                </w:tcPr>
                <w:p>
                  <w:pPr>
                    <w:jc w:val="center"/>
                    <w:rPr>
                      <w:szCs w:val="21"/>
                    </w:rPr>
                  </w:pPr>
                  <w:r>
                    <w:rPr>
                      <w:szCs w:val="21"/>
                    </w:rPr>
                    <w:t>3.663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0</w:t>
                  </w:r>
                </w:p>
              </w:tc>
              <w:tc>
                <w:tcPr>
                  <w:tcW w:w="1387" w:type="pct"/>
                  <w:shd w:val="clear" w:color="auto" w:fill="auto"/>
                  <w:noWrap w:val="0"/>
                  <w:vAlign w:val="center"/>
                </w:tcPr>
                <w:p>
                  <w:pPr>
                    <w:jc w:val="center"/>
                    <w:rPr>
                      <w:szCs w:val="21"/>
                    </w:rPr>
                  </w:pPr>
                  <w:r>
                    <w:rPr>
                      <w:szCs w:val="21"/>
                    </w:rPr>
                    <w:t>0.017</w:t>
                  </w:r>
                </w:p>
              </w:tc>
              <w:tc>
                <w:tcPr>
                  <w:tcW w:w="1044" w:type="pct"/>
                  <w:shd w:val="clear" w:color="auto" w:fill="auto"/>
                  <w:noWrap w:val="0"/>
                  <w:vAlign w:val="center"/>
                </w:tcPr>
                <w:p>
                  <w:pPr>
                    <w:jc w:val="center"/>
                    <w:rPr>
                      <w:szCs w:val="21"/>
                    </w:rPr>
                  </w:pPr>
                  <w:r>
                    <w:rPr>
                      <w:szCs w:val="21"/>
                    </w:rPr>
                    <w:t>3.709</w:t>
                  </w:r>
                </w:p>
              </w:tc>
              <w:tc>
                <w:tcPr>
                  <w:tcW w:w="1181" w:type="pct"/>
                  <w:shd w:val="clear" w:color="auto" w:fill="auto"/>
                  <w:noWrap w:val="0"/>
                  <w:vAlign w:val="center"/>
                </w:tcPr>
                <w:p>
                  <w:pPr>
                    <w:jc w:val="center"/>
                    <w:rPr>
                      <w:szCs w:val="21"/>
                    </w:rPr>
                  </w:pPr>
                  <w:r>
                    <w:rPr>
                      <w:szCs w:val="21"/>
                    </w:rPr>
                    <w:t>3.709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5</w:t>
                  </w:r>
                </w:p>
              </w:tc>
              <w:tc>
                <w:tcPr>
                  <w:tcW w:w="1387" w:type="pct"/>
                  <w:shd w:val="clear" w:color="auto" w:fill="auto"/>
                  <w:noWrap w:val="0"/>
                  <w:vAlign w:val="center"/>
                </w:tcPr>
                <w:p>
                  <w:pPr>
                    <w:jc w:val="center"/>
                    <w:rPr>
                      <w:szCs w:val="21"/>
                    </w:rPr>
                  </w:pPr>
                  <w:r>
                    <w:rPr>
                      <w:szCs w:val="21"/>
                    </w:rPr>
                    <w:t>0.267</w:t>
                  </w:r>
                </w:p>
              </w:tc>
              <w:tc>
                <w:tcPr>
                  <w:tcW w:w="1044" w:type="pct"/>
                  <w:shd w:val="clear" w:color="auto" w:fill="auto"/>
                  <w:noWrap w:val="0"/>
                  <w:vAlign w:val="center"/>
                </w:tcPr>
                <w:p>
                  <w:pPr>
                    <w:jc w:val="center"/>
                    <w:rPr>
                      <w:szCs w:val="21"/>
                    </w:rPr>
                  </w:pPr>
                  <w:r>
                    <w:rPr>
                      <w:szCs w:val="21"/>
                    </w:rPr>
                    <w:t>3.34</w:t>
                  </w:r>
                </w:p>
              </w:tc>
              <w:tc>
                <w:tcPr>
                  <w:tcW w:w="1181" w:type="pct"/>
                  <w:shd w:val="clear" w:color="auto" w:fill="auto"/>
                  <w:noWrap w:val="0"/>
                  <w:vAlign w:val="center"/>
                </w:tcPr>
                <w:p>
                  <w:pPr>
                    <w:jc w:val="center"/>
                    <w:rPr>
                      <w:szCs w:val="21"/>
                    </w:rPr>
                  </w:pPr>
                  <w:r>
                    <w:rPr>
                      <w:szCs w:val="21"/>
                    </w:rPr>
                    <w:t>3.351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10</w:t>
                  </w:r>
                </w:p>
              </w:tc>
              <w:tc>
                <w:tcPr>
                  <w:tcW w:w="1387" w:type="pct"/>
                  <w:shd w:val="clear" w:color="auto" w:fill="auto"/>
                  <w:noWrap w:val="0"/>
                  <w:vAlign w:val="center"/>
                </w:tcPr>
                <w:p>
                  <w:pPr>
                    <w:jc w:val="center"/>
                    <w:rPr>
                      <w:szCs w:val="21"/>
                    </w:rPr>
                  </w:pPr>
                  <w:r>
                    <w:rPr>
                      <w:szCs w:val="21"/>
                    </w:rPr>
                    <w:t>0.431</w:t>
                  </w:r>
                </w:p>
              </w:tc>
              <w:tc>
                <w:tcPr>
                  <w:tcW w:w="1044" w:type="pct"/>
                  <w:shd w:val="clear" w:color="auto" w:fill="auto"/>
                  <w:noWrap w:val="0"/>
                  <w:vAlign w:val="center"/>
                </w:tcPr>
                <w:p>
                  <w:pPr>
                    <w:jc w:val="center"/>
                    <w:rPr>
                      <w:szCs w:val="21"/>
                    </w:rPr>
                  </w:pPr>
                  <w:r>
                    <w:rPr>
                      <w:szCs w:val="21"/>
                    </w:rPr>
                    <w:t>2.034</w:t>
                  </w:r>
                </w:p>
              </w:tc>
              <w:tc>
                <w:tcPr>
                  <w:tcW w:w="1181" w:type="pct"/>
                  <w:shd w:val="clear" w:color="auto" w:fill="auto"/>
                  <w:noWrap w:val="0"/>
                  <w:vAlign w:val="center"/>
                </w:tcPr>
                <w:p>
                  <w:pPr>
                    <w:jc w:val="center"/>
                    <w:rPr>
                      <w:szCs w:val="21"/>
                    </w:rPr>
                  </w:pPr>
                  <w:r>
                    <w:rPr>
                      <w:szCs w:val="21"/>
                    </w:rPr>
                    <w:t>2.079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15</w:t>
                  </w:r>
                </w:p>
              </w:tc>
              <w:tc>
                <w:tcPr>
                  <w:tcW w:w="1387" w:type="pct"/>
                  <w:shd w:val="clear" w:color="auto" w:fill="auto"/>
                  <w:noWrap w:val="0"/>
                  <w:vAlign w:val="center"/>
                </w:tcPr>
                <w:p>
                  <w:pPr>
                    <w:jc w:val="center"/>
                    <w:rPr>
                      <w:szCs w:val="21"/>
                    </w:rPr>
                  </w:pPr>
                  <w:r>
                    <w:rPr>
                      <w:szCs w:val="21"/>
                    </w:rPr>
                    <w:t>0.276</w:t>
                  </w:r>
                </w:p>
              </w:tc>
              <w:tc>
                <w:tcPr>
                  <w:tcW w:w="1044" w:type="pct"/>
                  <w:shd w:val="clear" w:color="auto" w:fill="auto"/>
                  <w:noWrap w:val="0"/>
                  <w:vAlign w:val="center"/>
                </w:tcPr>
                <w:p>
                  <w:pPr>
                    <w:jc w:val="center"/>
                    <w:rPr>
                      <w:szCs w:val="21"/>
                    </w:rPr>
                  </w:pPr>
                  <w:r>
                    <w:rPr>
                      <w:szCs w:val="21"/>
                    </w:rPr>
                    <w:t>0.83</w:t>
                  </w:r>
                </w:p>
              </w:tc>
              <w:tc>
                <w:tcPr>
                  <w:tcW w:w="1181" w:type="pct"/>
                  <w:shd w:val="clear" w:color="auto" w:fill="auto"/>
                  <w:noWrap w:val="0"/>
                  <w:vAlign w:val="center"/>
                </w:tcPr>
                <w:p>
                  <w:pPr>
                    <w:jc w:val="center"/>
                    <w:rPr>
                      <w:szCs w:val="21"/>
                    </w:rPr>
                  </w:pPr>
                  <w:r>
                    <w:rPr>
                      <w:szCs w:val="21"/>
                    </w:rPr>
                    <w:t>0.874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20</w:t>
                  </w:r>
                </w:p>
              </w:tc>
              <w:tc>
                <w:tcPr>
                  <w:tcW w:w="1387" w:type="pct"/>
                  <w:shd w:val="clear" w:color="auto" w:fill="auto"/>
                  <w:noWrap w:val="0"/>
                  <w:vAlign w:val="center"/>
                </w:tcPr>
                <w:p>
                  <w:pPr>
                    <w:jc w:val="center"/>
                    <w:rPr>
                      <w:szCs w:val="21"/>
                    </w:rPr>
                  </w:pPr>
                  <w:r>
                    <w:rPr>
                      <w:szCs w:val="21"/>
                    </w:rPr>
                    <w:t>0.128</w:t>
                  </w:r>
                </w:p>
              </w:tc>
              <w:tc>
                <w:tcPr>
                  <w:tcW w:w="1044" w:type="pct"/>
                  <w:shd w:val="clear" w:color="auto" w:fill="auto"/>
                  <w:noWrap w:val="0"/>
                  <w:vAlign w:val="center"/>
                </w:tcPr>
                <w:p>
                  <w:pPr>
                    <w:jc w:val="center"/>
                    <w:rPr>
                      <w:szCs w:val="21"/>
                    </w:rPr>
                  </w:pPr>
                  <w:r>
                    <w:rPr>
                      <w:szCs w:val="21"/>
                    </w:rPr>
                    <w:t>0.204</w:t>
                  </w:r>
                </w:p>
              </w:tc>
              <w:tc>
                <w:tcPr>
                  <w:tcW w:w="1181" w:type="pct"/>
                  <w:shd w:val="clear" w:color="auto" w:fill="auto"/>
                  <w:noWrap w:val="0"/>
                  <w:vAlign w:val="center"/>
                </w:tcPr>
                <w:p>
                  <w:pPr>
                    <w:jc w:val="center"/>
                    <w:rPr>
                      <w:szCs w:val="21"/>
                    </w:rPr>
                  </w:pPr>
                  <w:r>
                    <w:rPr>
                      <w:szCs w:val="21"/>
                    </w:rPr>
                    <w:t>0.241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25</w:t>
                  </w:r>
                </w:p>
              </w:tc>
              <w:tc>
                <w:tcPr>
                  <w:tcW w:w="1387" w:type="pct"/>
                  <w:shd w:val="clear" w:color="auto" w:fill="auto"/>
                  <w:noWrap w:val="0"/>
                  <w:vAlign w:val="center"/>
                </w:tcPr>
                <w:p>
                  <w:pPr>
                    <w:jc w:val="center"/>
                    <w:rPr>
                      <w:szCs w:val="21"/>
                    </w:rPr>
                  </w:pPr>
                  <w:r>
                    <w:rPr>
                      <w:szCs w:val="21"/>
                    </w:rPr>
                    <w:t>0.053</w:t>
                  </w:r>
                </w:p>
              </w:tc>
              <w:tc>
                <w:tcPr>
                  <w:tcW w:w="1044" w:type="pct"/>
                  <w:shd w:val="clear" w:color="auto" w:fill="auto"/>
                  <w:noWrap w:val="0"/>
                  <w:vAlign w:val="center"/>
                </w:tcPr>
                <w:p>
                  <w:pPr>
                    <w:jc w:val="center"/>
                    <w:rPr>
                      <w:szCs w:val="21"/>
                    </w:rPr>
                  </w:pPr>
                  <w:r>
                    <w:rPr>
                      <w:szCs w:val="21"/>
                    </w:rPr>
                    <w:t>0.104</w:t>
                  </w:r>
                </w:p>
              </w:tc>
              <w:tc>
                <w:tcPr>
                  <w:tcW w:w="1181" w:type="pct"/>
                  <w:shd w:val="clear" w:color="auto" w:fill="auto"/>
                  <w:noWrap w:val="0"/>
                  <w:vAlign w:val="center"/>
                </w:tcPr>
                <w:p>
                  <w:pPr>
                    <w:jc w:val="center"/>
                    <w:rPr>
                      <w:szCs w:val="21"/>
                    </w:rPr>
                  </w:pPr>
                  <w:r>
                    <w:rPr>
                      <w:szCs w:val="21"/>
                    </w:rPr>
                    <w:t>0.117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30</w:t>
                  </w:r>
                </w:p>
              </w:tc>
              <w:tc>
                <w:tcPr>
                  <w:tcW w:w="1387" w:type="pct"/>
                  <w:shd w:val="clear" w:color="auto" w:fill="auto"/>
                  <w:noWrap w:val="0"/>
                  <w:vAlign w:val="center"/>
                </w:tcPr>
                <w:p>
                  <w:pPr>
                    <w:jc w:val="center"/>
                    <w:rPr>
                      <w:szCs w:val="21"/>
                    </w:rPr>
                  </w:pPr>
                  <w:r>
                    <w:rPr>
                      <w:szCs w:val="21"/>
                    </w:rPr>
                    <w:t>0.019</w:t>
                  </w:r>
                </w:p>
              </w:tc>
              <w:tc>
                <w:tcPr>
                  <w:tcW w:w="1044" w:type="pct"/>
                  <w:shd w:val="clear" w:color="auto" w:fill="auto"/>
                  <w:noWrap w:val="0"/>
                  <w:vAlign w:val="center"/>
                </w:tcPr>
                <w:p>
                  <w:pPr>
                    <w:jc w:val="center"/>
                    <w:rPr>
                      <w:szCs w:val="21"/>
                    </w:rPr>
                  </w:pPr>
                  <w:r>
                    <w:rPr>
                      <w:szCs w:val="21"/>
                    </w:rPr>
                    <w:t>0.196</w:t>
                  </w:r>
                </w:p>
              </w:tc>
              <w:tc>
                <w:tcPr>
                  <w:tcW w:w="1181" w:type="pct"/>
                  <w:shd w:val="clear" w:color="auto" w:fill="auto"/>
                  <w:noWrap w:val="0"/>
                  <w:vAlign w:val="center"/>
                </w:tcPr>
                <w:p>
                  <w:pPr>
                    <w:jc w:val="center"/>
                    <w:rPr>
                      <w:szCs w:val="21"/>
                    </w:rPr>
                  </w:pPr>
                  <w:r>
                    <w:rPr>
                      <w:szCs w:val="21"/>
                    </w:rPr>
                    <w:t>0.197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35</w:t>
                  </w:r>
                </w:p>
              </w:tc>
              <w:tc>
                <w:tcPr>
                  <w:tcW w:w="1387" w:type="pct"/>
                  <w:shd w:val="clear" w:color="auto" w:fill="auto"/>
                  <w:noWrap w:val="0"/>
                  <w:vAlign w:val="center"/>
                </w:tcPr>
                <w:p>
                  <w:pPr>
                    <w:jc w:val="center"/>
                    <w:rPr>
                      <w:szCs w:val="21"/>
                    </w:rPr>
                  </w:pPr>
                  <w:r>
                    <w:rPr>
                      <w:szCs w:val="21"/>
                    </w:rPr>
                    <w:t>0.006</w:t>
                  </w:r>
                </w:p>
              </w:tc>
              <w:tc>
                <w:tcPr>
                  <w:tcW w:w="1044" w:type="pct"/>
                  <w:shd w:val="clear" w:color="auto" w:fill="auto"/>
                  <w:noWrap w:val="0"/>
                  <w:vAlign w:val="center"/>
                </w:tcPr>
                <w:p>
                  <w:pPr>
                    <w:jc w:val="center"/>
                    <w:rPr>
                      <w:szCs w:val="21"/>
                    </w:rPr>
                  </w:pPr>
                  <w:r>
                    <w:rPr>
                      <w:szCs w:val="21"/>
                    </w:rPr>
                    <w:t>0.223</w:t>
                  </w:r>
                </w:p>
              </w:tc>
              <w:tc>
                <w:tcPr>
                  <w:tcW w:w="1181" w:type="pct"/>
                  <w:shd w:val="clear" w:color="auto" w:fill="auto"/>
                  <w:noWrap w:val="0"/>
                  <w:vAlign w:val="center"/>
                </w:tcPr>
                <w:p>
                  <w:pPr>
                    <w:jc w:val="center"/>
                    <w:rPr>
                      <w:szCs w:val="21"/>
                    </w:rPr>
                  </w:pPr>
                  <w:r>
                    <w:rPr>
                      <w:szCs w:val="21"/>
                    </w:rPr>
                    <w:t>0.223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97" w:hRule="atLeast"/>
                <w:jc w:val="center"/>
              </w:trPr>
              <w:tc>
                <w:tcPr>
                  <w:tcW w:w="1388" w:type="pct"/>
                  <w:shd w:val="clear" w:color="auto" w:fill="auto"/>
                  <w:noWrap w:val="0"/>
                  <w:vAlign w:val="center"/>
                </w:tcPr>
                <w:p>
                  <w:pPr>
                    <w:jc w:val="center"/>
                    <w:rPr>
                      <w:szCs w:val="21"/>
                    </w:rPr>
                  </w:pPr>
                  <w:r>
                    <w:rPr>
                      <w:szCs w:val="21"/>
                    </w:rPr>
                    <w:t>40</w:t>
                  </w:r>
                </w:p>
              </w:tc>
              <w:tc>
                <w:tcPr>
                  <w:tcW w:w="1387" w:type="pct"/>
                  <w:shd w:val="clear" w:color="auto" w:fill="auto"/>
                  <w:noWrap w:val="0"/>
                  <w:vAlign w:val="center"/>
                </w:tcPr>
                <w:p>
                  <w:pPr>
                    <w:jc w:val="center"/>
                    <w:rPr>
                      <w:szCs w:val="21"/>
                    </w:rPr>
                  </w:pPr>
                  <w:r>
                    <w:rPr>
                      <w:szCs w:val="21"/>
                    </w:rPr>
                    <w:t>0.004</w:t>
                  </w:r>
                </w:p>
              </w:tc>
              <w:tc>
                <w:tcPr>
                  <w:tcW w:w="1044" w:type="pct"/>
                  <w:shd w:val="clear" w:color="auto" w:fill="auto"/>
                  <w:noWrap w:val="0"/>
                  <w:vAlign w:val="center"/>
                </w:tcPr>
                <w:p>
                  <w:pPr>
                    <w:jc w:val="center"/>
                    <w:rPr>
                      <w:szCs w:val="21"/>
                    </w:rPr>
                  </w:pPr>
                  <w:r>
                    <w:rPr>
                      <w:szCs w:val="21"/>
                    </w:rPr>
                    <w:t>0.22</w:t>
                  </w:r>
                </w:p>
              </w:tc>
              <w:tc>
                <w:tcPr>
                  <w:tcW w:w="1181" w:type="pct"/>
                  <w:shd w:val="clear" w:color="auto" w:fill="auto"/>
                  <w:noWrap w:val="0"/>
                  <w:vAlign w:val="center"/>
                </w:tcPr>
                <w:p>
                  <w:pPr>
                    <w:jc w:val="center"/>
                    <w:rPr>
                      <w:szCs w:val="21"/>
                    </w:rPr>
                  </w:pPr>
                  <w:r>
                    <w:rPr>
                      <w:szCs w:val="21"/>
                    </w:rPr>
                    <w:t>0.22</w:t>
                  </w:r>
                </w:p>
              </w:tc>
            </w:tr>
          </w:tbl>
          <w:p>
            <w:pPr>
              <w:spacing w:line="540" w:lineRule="atLeast"/>
              <w:jc w:val="center"/>
              <w:rPr>
                <w:sz w:val="24"/>
              </w:rPr>
            </w:pPr>
            <w:r>
              <w:rPr>
                <w:sz w:val="24"/>
              </w:rPr>
              <w:drawing>
                <wp:inline distT="0" distB="0" distL="114300" distR="114300">
                  <wp:extent cx="4872355" cy="2983230"/>
                  <wp:effectExtent l="6350" t="6350" r="23495" b="7620"/>
                  <wp:docPr id="4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tabs>
                <w:tab w:val="left" w:pos="700"/>
              </w:tabs>
              <w:spacing w:line="500" w:lineRule="exact"/>
              <w:jc w:val="center"/>
              <w:rPr>
                <w:b/>
                <w:szCs w:val="21"/>
              </w:rPr>
            </w:pPr>
            <w:r>
              <w:rPr>
                <w:b/>
                <w:szCs w:val="21"/>
              </w:rPr>
              <w:t>图4    双回工频电场强度的总体分布情况</w:t>
            </w:r>
          </w:p>
          <w:p>
            <w:pPr>
              <w:spacing w:line="500" w:lineRule="exact"/>
              <w:ind w:firstLine="480" w:firstLineChars="200"/>
              <w:rPr>
                <w:sz w:val="24"/>
              </w:rPr>
            </w:pPr>
            <w:r>
              <w:rPr>
                <w:sz w:val="24"/>
              </w:rPr>
              <w:t>由表1</w:t>
            </w:r>
            <w:r>
              <w:rPr>
                <w:rFonts w:hint="eastAsia"/>
                <w:sz w:val="24"/>
              </w:rPr>
              <w:t>1</w:t>
            </w:r>
            <w:r>
              <w:rPr>
                <w:sz w:val="24"/>
              </w:rPr>
              <w:t>和图4可以看出，双回工频电场综合量最大值出现在距线路中心线投影0m处，最大值为3.709kV/m，之后随与此点距离的增加电场强度呈逐渐降低的趋势，所有点位的工频电场强度值均符合4kV/m的评价标准。</w:t>
            </w:r>
          </w:p>
          <w:p>
            <w:pPr>
              <w:spacing w:line="500" w:lineRule="exact"/>
              <w:ind w:firstLine="480" w:firstLineChars="200"/>
              <w:rPr>
                <w:sz w:val="24"/>
              </w:rPr>
            </w:pPr>
            <w:r>
              <w:rPr>
                <w:sz w:val="24"/>
              </w:rPr>
              <w:t>（2）220kV线路磁场预测</w:t>
            </w:r>
          </w:p>
          <w:p>
            <w:pPr>
              <w:spacing w:line="500" w:lineRule="exact"/>
              <w:ind w:firstLine="480" w:firstLineChars="200"/>
              <w:rPr>
                <w:bCs/>
                <w:sz w:val="24"/>
              </w:rPr>
            </w:pPr>
            <w:r>
              <w:rPr>
                <w:bCs/>
                <w:sz w:val="24"/>
              </w:rPr>
              <w:t>220kV送电线下空间磁感应强度的预测计算</w:t>
            </w:r>
          </w:p>
          <w:p>
            <w:pPr>
              <w:spacing w:line="500" w:lineRule="exact"/>
              <w:ind w:left="105" w:leftChars="50" w:firstLine="360" w:firstLineChars="150"/>
              <w:rPr>
                <w:sz w:val="24"/>
              </w:rPr>
            </w:pPr>
            <w:r>
              <w:rPr>
                <w:sz w:val="24"/>
              </w:rPr>
              <w:t>根据《环境影响评价技术导则  输变电工程》（HJ24-2014）推荐的附录C模式进行预测计算</w:t>
            </w:r>
            <w:r>
              <w:rPr>
                <w:bCs/>
                <w:sz w:val="24"/>
              </w:rPr>
              <w:t>220kV</w:t>
            </w:r>
            <w:r>
              <w:rPr>
                <w:sz w:val="24"/>
              </w:rPr>
              <w:t>导线下方A点处的磁场强度：</w:t>
            </w:r>
          </w:p>
          <w:p>
            <w:pPr>
              <w:spacing w:before="120" w:after="120" w:line="480" w:lineRule="atLeast"/>
              <w:rPr>
                <w:sz w:val="24"/>
              </w:rPr>
            </w:pPr>
            <w:r>
              <w:rPr>
                <w:sz w:val="24"/>
              </w:rPr>
              <w:t xml:space="preserve">      </w:t>
            </w:r>
            <w:r>
              <w:rPr>
                <w:position w:val="-30"/>
                <w:sz w:val="24"/>
              </w:rPr>
              <w:object>
                <v:shape id="_x0000_i1046" o:spt="75" type="#_x0000_t75" style="height:42.75pt;width:108.75pt;" o:ole="t" filled="f" o:preferrelative="t" stroked="f" coordsize="21600,21600">
                  <v:path/>
                  <v:fill on="f" focussize="0,0"/>
                  <v:stroke on="f"/>
                  <v:imagedata r:id="rId54" o:title=""/>
                  <o:lock v:ext="edit" grouping="f" rotation="f" text="f" aspectratio="t"/>
                  <w10:wrap type="none"/>
                  <w10:anchorlock/>
                </v:shape>
                <o:OLEObject Type="Embed" ProgID="Equation.3" ShapeID="_x0000_i1046" DrawAspect="Content" ObjectID="_1468075747" r:id="rId53">
                  <o:LockedField>false</o:LockedField>
                </o:OLEObject>
              </w:object>
            </w:r>
            <w:r>
              <w:rPr>
                <w:sz w:val="24"/>
              </w:rPr>
              <w:t>...........</w:t>
            </w:r>
          </w:p>
          <w:p>
            <w:pPr>
              <w:spacing w:line="480" w:lineRule="atLeast"/>
              <w:ind w:firstLine="480" w:firstLineChars="200"/>
              <w:rPr>
                <w:sz w:val="24"/>
              </w:rPr>
            </w:pPr>
            <w:r>
              <w:rPr>
                <w:sz w:val="24"/>
              </w:rPr>
              <w:t>式中：I---导线i中的电流值；</w:t>
            </w:r>
          </w:p>
          <w:p>
            <w:pPr>
              <w:spacing w:line="480" w:lineRule="atLeast"/>
              <w:ind w:firstLine="1200" w:firstLineChars="500"/>
              <w:rPr>
                <w:sz w:val="24"/>
              </w:rPr>
            </w:pPr>
            <w:r>
              <w:rPr>
                <w:sz w:val="24"/>
              </w:rPr>
              <w:t>h---计算A点距导线的垂直高度；</w:t>
            </w:r>
          </w:p>
          <w:p>
            <w:pPr>
              <w:spacing w:line="480" w:lineRule="atLeast"/>
              <w:ind w:firstLine="1140" w:firstLineChars="475"/>
              <w:rPr>
                <w:sz w:val="24"/>
              </w:rPr>
            </w:pPr>
            <w:r>
              <w:rPr>
                <w:sz w:val="24"/>
              </w:rPr>
              <w:t>L---计算A点距导线的水平距离。</w:t>
            </w:r>
          </w:p>
          <w:p>
            <w:pPr>
              <w:spacing w:line="480" w:lineRule="atLeast"/>
              <w:ind w:firstLine="540" w:firstLineChars="225"/>
              <w:rPr>
                <w:sz w:val="24"/>
              </w:rPr>
            </w:pPr>
            <w:r>
              <w:rPr>
                <w:sz w:val="24"/>
              </w:rPr>
              <w:t>为了与环境标准相适应，需要将磁场强度转换为磁感应强度，转换公式如下：</w:t>
            </w:r>
          </w:p>
          <w:p>
            <w:pPr>
              <w:spacing w:line="480" w:lineRule="atLeast"/>
              <w:ind w:firstLine="780" w:firstLineChars="325"/>
              <w:rPr>
                <w:sz w:val="24"/>
              </w:rPr>
            </w:pPr>
            <w:r>
              <w:rPr>
                <w:sz w:val="24"/>
              </w:rPr>
              <w:t>B=µ</w:t>
            </w:r>
            <w:r>
              <w:rPr>
                <w:sz w:val="24"/>
                <w:vertAlign w:val="subscript"/>
              </w:rPr>
              <w:t>0</w:t>
            </w:r>
            <w:r>
              <w:rPr>
                <w:sz w:val="24"/>
              </w:rPr>
              <w:t>H</w:t>
            </w:r>
          </w:p>
          <w:p>
            <w:pPr>
              <w:spacing w:line="480" w:lineRule="atLeast"/>
              <w:ind w:firstLine="540" w:firstLineChars="225"/>
              <w:rPr>
                <w:sz w:val="24"/>
              </w:rPr>
            </w:pPr>
            <w:r>
              <w:rPr>
                <w:sz w:val="24"/>
              </w:rPr>
              <w:t>B：磁感应强度</w:t>
            </w:r>
          </w:p>
          <w:p>
            <w:pPr>
              <w:spacing w:line="480" w:lineRule="atLeast"/>
              <w:ind w:firstLine="540" w:firstLineChars="225"/>
              <w:rPr>
                <w:sz w:val="24"/>
              </w:rPr>
            </w:pPr>
            <w:r>
              <w:rPr>
                <w:sz w:val="24"/>
              </w:rPr>
              <w:t>H：磁场强度</w:t>
            </w:r>
          </w:p>
          <w:p>
            <w:pPr>
              <w:spacing w:line="480" w:lineRule="atLeast"/>
              <w:ind w:firstLine="540" w:firstLineChars="225"/>
              <w:rPr>
                <w:sz w:val="24"/>
              </w:rPr>
            </w:pPr>
            <w:r>
              <w:rPr>
                <w:sz w:val="24"/>
              </w:rPr>
              <w:t>µ</w:t>
            </w:r>
            <w:r>
              <w:rPr>
                <w:sz w:val="24"/>
                <w:vertAlign w:val="subscript"/>
              </w:rPr>
              <w:t>0</w:t>
            </w:r>
            <w:r>
              <w:rPr>
                <w:sz w:val="24"/>
              </w:rPr>
              <w:t>：真空中相对磁导率（µ</w:t>
            </w:r>
            <w:r>
              <w:rPr>
                <w:sz w:val="24"/>
                <w:vertAlign w:val="subscript"/>
              </w:rPr>
              <w:t>0</w:t>
            </w:r>
            <w:r>
              <w:rPr>
                <w:sz w:val="24"/>
              </w:rPr>
              <w:t>=4π×10</w:t>
            </w:r>
            <w:r>
              <w:rPr>
                <w:sz w:val="24"/>
                <w:vertAlign w:val="superscript"/>
              </w:rPr>
              <w:t>-7</w:t>
            </w:r>
            <w:r>
              <w:rPr>
                <w:sz w:val="24"/>
              </w:rPr>
              <w:t>H/m）。</w:t>
            </w:r>
          </w:p>
          <w:p>
            <w:pPr>
              <w:spacing w:line="480" w:lineRule="atLeast"/>
              <w:ind w:firstLine="480" w:firstLineChars="200"/>
              <w:rPr>
                <w:sz w:val="24"/>
              </w:rPr>
            </w:pPr>
            <w:r>
              <w:rPr>
                <w:sz w:val="24"/>
              </w:rPr>
              <w:t>双回磁感应强度计算结果见表1</w:t>
            </w:r>
            <w:r>
              <w:rPr>
                <w:rFonts w:hint="eastAsia"/>
                <w:sz w:val="24"/>
              </w:rPr>
              <w:t>2</w:t>
            </w:r>
            <w:r>
              <w:rPr>
                <w:sz w:val="24"/>
              </w:rPr>
              <w:t>，磁感应强度分布图见图5。</w:t>
            </w:r>
          </w:p>
          <w:p>
            <w:pPr>
              <w:tabs>
                <w:tab w:val="left" w:pos="700"/>
              </w:tabs>
              <w:spacing w:line="500" w:lineRule="exact"/>
              <w:jc w:val="center"/>
              <w:rPr>
                <w:b/>
                <w:szCs w:val="21"/>
              </w:rPr>
            </w:pPr>
            <w:r>
              <w:rPr>
                <w:b/>
                <w:szCs w:val="21"/>
              </w:rPr>
              <w:t>表1</w:t>
            </w:r>
            <w:r>
              <w:rPr>
                <w:rFonts w:hint="eastAsia"/>
                <w:b/>
                <w:szCs w:val="21"/>
              </w:rPr>
              <w:t>2</w:t>
            </w:r>
            <w:r>
              <w:rPr>
                <w:b/>
                <w:szCs w:val="21"/>
              </w:rPr>
              <w:t xml:space="preserve">  双回工频磁感应强度计算结果</w:t>
            </w:r>
          </w:p>
          <w:tbl>
            <w:tblPr>
              <w:tblStyle w:val="4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076"/>
              <w:gridCol w:w="2076"/>
              <w:gridCol w:w="2077"/>
              <w:gridCol w:w="207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0"/>
                  <w:vAlign w:val="center"/>
                </w:tcPr>
                <w:p>
                  <w:pPr>
                    <w:widowControl/>
                    <w:spacing w:line="0" w:lineRule="atLeast"/>
                    <w:jc w:val="center"/>
                    <w:rPr>
                      <w:kern w:val="0"/>
                      <w:szCs w:val="21"/>
                    </w:rPr>
                  </w:pPr>
                  <w:r>
                    <w:rPr>
                      <w:kern w:val="0"/>
                      <w:szCs w:val="21"/>
                    </w:rPr>
                    <w:t>到线路中心线投影的距离（m）</w:t>
                  </w:r>
                </w:p>
              </w:tc>
              <w:tc>
                <w:tcPr>
                  <w:tcW w:w="1250" w:type="pct"/>
                  <w:shd w:val="clear" w:color="auto" w:fill="auto"/>
                  <w:noWrap w:val="0"/>
                  <w:vAlign w:val="center"/>
                </w:tcPr>
                <w:p>
                  <w:pPr>
                    <w:widowControl/>
                    <w:spacing w:line="0" w:lineRule="atLeast"/>
                    <w:jc w:val="center"/>
                    <w:rPr>
                      <w:kern w:val="0"/>
                      <w:szCs w:val="21"/>
                    </w:rPr>
                  </w:pPr>
                  <w:r>
                    <w:rPr>
                      <w:kern w:val="0"/>
                      <w:szCs w:val="21"/>
                    </w:rPr>
                    <w:t>1.5米高处磁场水平分量(微特)</w:t>
                  </w:r>
                </w:p>
              </w:tc>
              <w:tc>
                <w:tcPr>
                  <w:tcW w:w="1250" w:type="pct"/>
                  <w:shd w:val="clear" w:color="auto" w:fill="auto"/>
                  <w:noWrap w:val="0"/>
                  <w:vAlign w:val="center"/>
                </w:tcPr>
                <w:p>
                  <w:pPr>
                    <w:widowControl/>
                    <w:spacing w:line="0" w:lineRule="atLeast"/>
                    <w:jc w:val="center"/>
                    <w:rPr>
                      <w:kern w:val="0"/>
                      <w:szCs w:val="21"/>
                    </w:rPr>
                  </w:pPr>
                  <w:r>
                    <w:rPr>
                      <w:kern w:val="0"/>
                      <w:szCs w:val="21"/>
                    </w:rPr>
                    <w:t>1.5米高处磁场垂直分量(微特)</w:t>
                  </w:r>
                </w:p>
              </w:tc>
              <w:tc>
                <w:tcPr>
                  <w:tcW w:w="1250" w:type="pct"/>
                  <w:shd w:val="clear" w:color="auto" w:fill="auto"/>
                  <w:noWrap w:val="0"/>
                  <w:vAlign w:val="center"/>
                </w:tcPr>
                <w:p>
                  <w:pPr>
                    <w:widowControl/>
                    <w:spacing w:line="0" w:lineRule="atLeast"/>
                    <w:jc w:val="center"/>
                    <w:rPr>
                      <w:kern w:val="0"/>
                      <w:szCs w:val="21"/>
                    </w:rPr>
                  </w:pPr>
                  <w:r>
                    <w:rPr>
                      <w:kern w:val="0"/>
                      <w:szCs w:val="21"/>
                    </w:rPr>
                    <w:t>1.5米高处磁场的综合量(微特)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-40</w:t>
                  </w:r>
                </w:p>
              </w:tc>
              <w:tc>
                <w:tcPr>
                  <w:tcW w:w="1250" w:type="pct"/>
                  <w:shd w:val="clear" w:color="auto" w:fill="auto"/>
                  <w:noWrap w:val="0"/>
                  <w:vAlign w:val="center"/>
                </w:tcPr>
                <w:p>
                  <w:pPr>
                    <w:jc w:val="center"/>
                    <w:rPr>
                      <w:szCs w:val="21"/>
                    </w:rPr>
                  </w:pPr>
                  <w:r>
                    <w:rPr>
                      <w:szCs w:val="21"/>
                    </w:rPr>
                    <w:t>11.52</w:t>
                  </w:r>
                </w:p>
              </w:tc>
              <w:tc>
                <w:tcPr>
                  <w:tcW w:w="1250" w:type="pct"/>
                  <w:shd w:val="clear" w:color="auto" w:fill="auto"/>
                  <w:noWrap w:val="0"/>
                  <w:vAlign w:val="center"/>
                </w:tcPr>
                <w:p>
                  <w:pPr>
                    <w:jc w:val="center"/>
                    <w:rPr>
                      <w:szCs w:val="21"/>
                    </w:rPr>
                  </w:pPr>
                  <w:r>
                    <w:rPr>
                      <w:szCs w:val="21"/>
                    </w:rPr>
                    <w:t>29.96</w:t>
                  </w:r>
                </w:p>
              </w:tc>
              <w:tc>
                <w:tcPr>
                  <w:tcW w:w="1250" w:type="pct"/>
                  <w:shd w:val="clear" w:color="auto" w:fill="auto"/>
                  <w:noWrap w:val="0"/>
                  <w:vAlign w:val="center"/>
                </w:tcPr>
                <w:p>
                  <w:pPr>
                    <w:jc w:val="center"/>
                    <w:rPr>
                      <w:szCs w:val="21"/>
                    </w:rPr>
                  </w:pPr>
                  <w:r>
                    <w:rPr>
                      <w:szCs w:val="21"/>
                    </w:rPr>
                    <w:t>32.1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-35</w:t>
                  </w:r>
                </w:p>
              </w:tc>
              <w:tc>
                <w:tcPr>
                  <w:tcW w:w="1250" w:type="pct"/>
                  <w:shd w:val="clear" w:color="auto" w:fill="auto"/>
                  <w:noWrap w:val="0"/>
                  <w:vAlign w:val="center"/>
                </w:tcPr>
                <w:p>
                  <w:pPr>
                    <w:jc w:val="center"/>
                    <w:rPr>
                      <w:szCs w:val="21"/>
                    </w:rPr>
                  </w:pPr>
                  <w:r>
                    <w:rPr>
                      <w:szCs w:val="21"/>
                    </w:rPr>
                    <w:t>14.6</w:t>
                  </w:r>
                </w:p>
              </w:tc>
              <w:tc>
                <w:tcPr>
                  <w:tcW w:w="1250" w:type="pct"/>
                  <w:shd w:val="clear" w:color="auto" w:fill="auto"/>
                  <w:noWrap w:val="0"/>
                  <w:vAlign w:val="center"/>
                </w:tcPr>
                <w:p>
                  <w:pPr>
                    <w:jc w:val="center"/>
                    <w:rPr>
                      <w:szCs w:val="21"/>
                    </w:rPr>
                  </w:pPr>
                  <w:r>
                    <w:rPr>
                      <w:szCs w:val="21"/>
                    </w:rPr>
                    <w:t>32.95</w:t>
                  </w:r>
                </w:p>
              </w:tc>
              <w:tc>
                <w:tcPr>
                  <w:tcW w:w="1250" w:type="pct"/>
                  <w:shd w:val="clear" w:color="auto" w:fill="auto"/>
                  <w:noWrap w:val="0"/>
                  <w:vAlign w:val="center"/>
                </w:tcPr>
                <w:p>
                  <w:pPr>
                    <w:jc w:val="center"/>
                    <w:rPr>
                      <w:szCs w:val="21"/>
                    </w:rPr>
                  </w:pPr>
                  <w:r>
                    <w:rPr>
                      <w:szCs w:val="21"/>
                    </w:rPr>
                    <w:t>36.04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-30</w:t>
                  </w:r>
                </w:p>
              </w:tc>
              <w:tc>
                <w:tcPr>
                  <w:tcW w:w="1250" w:type="pct"/>
                  <w:shd w:val="clear" w:color="auto" w:fill="auto"/>
                  <w:noWrap w:val="0"/>
                  <w:vAlign w:val="center"/>
                </w:tcPr>
                <w:p>
                  <w:pPr>
                    <w:jc w:val="center"/>
                    <w:rPr>
                      <w:szCs w:val="21"/>
                    </w:rPr>
                  </w:pPr>
                  <w:r>
                    <w:rPr>
                      <w:szCs w:val="21"/>
                    </w:rPr>
                    <w:t>18.94</w:t>
                  </w:r>
                </w:p>
              </w:tc>
              <w:tc>
                <w:tcPr>
                  <w:tcW w:w="1250" w:type="pct"/>
                  <w:shd w:val="clear" w:color="auto" w:fill="auto"/>
                  <w:noWrap w:val="0"/>
                  <w:vAlign w:val="center"/>
                </w:tcPr>
                <w:p>
                  <w:pPr>
                    <w:jc w:val="center"/>
                    <w:rPr>
                      <w:szCs w:val="21"/>
                    </w:rPr>
                  </w:pPr>
                  <w:r>
                    <w:rPr>
                      <w:szCs w:val="21"/>
                    </w:rPr>
                    <w:t>36.33</w:t>
                  </w:r>
                </w:p>
              </w:tc>
              <w:tc>
                <w:tcPr>
                  <w:tcW w:w="1250" w:type="pct"/>
                  <w:shd w:val="clear" w:color="auto" w:fill="auto"/>
                  <w:noWrap w:val="0"/>
                  <w:vAlign w:val="center"/>
                </w:tcPr>
                <w:p>
                  <w:pPr>
                    <w:jc w:val="center"/>
                    <w:rPr>
                      <w:szCs w:val="21"/>
                    </w:rPr>
                  </w:pPr>
                  <w:r>
                    <w:rPr>
                      <w:szCs w:val="21"/>
                    </w:rPr>
                    <w:t>40.97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-25</w:t>
                  </w:r>
                </w:p>
              </w:tc>
              <w:tc>
                <w:tcPr>
                  <w:tcW w:w="1250" w:type="pct"/>
                  <w:shd w:val="clear" w:color="auto" w:fill="auto"/>
                  <w:noWrap w:val="0"/>
                  <w:vAlign w:val="center"/>
                </w:tcPr>
                <w:p>
                  <w:pPr>
                    <w:jc w:val="center"/>
                    <w:rPr>
                      <w:szCs w:val="21"/>
                    </w:rPr>
                  </w:pPr>
                  <w:r>
                    <w:rPr>
                      <w:szCs w:val="21"/>
                    </w:rPr>
                    <w:t>25.21</w:t>
                  </w:r>
                </w:p>
              </w:tc>
              <w:tc>
                <w:tcPr>
                  <w:tcW w:w="1250" w:type="pct"/>
                  <w:shd w:val="clear" w:color="auto" w:fill="auto"/>
                  <w:noWrap w:val="0"/>
                  <w:vAlign w:val="center"/>
                </w:tcPr>
                <w:p>
                  <w:pPr>
                    <w:jc w:val="center"/>
                    <w:rPr>
                      <w:szCs w:val="21"/>
                    </w:rPr>
                  </w:pPr>
                  <w:r>
                    <w:rPr>
                      <w:szCs w:val="21"/>
                    </w:rPr>
                    <w:t>39.96</w:t>
                  </w:r>
                </w:p>
              </w:tc>
              <w:tc>
                <w:tcPr>
                  <w:tcW w:w="1250" w:type="pct"/>
                  <w:shd w:val="clear" w:color="auto" w:fill="auto"/>
                  <w:noWrap w:val="0"/>
                  <w:vAlign w:val="center"/>
                </w:tcPr>
                <w:p>
                  <w:pPr>
                    <w:jc w:val="center"/>
                    <w:rPr>
                      <w:szCs w:val="21"/>
                    </w:rPr>
                  </w:pPr>
                  <w:r>
                    <w:rPr>
                      <w:szCs w:val="21"/>
                    </w:rPr>
                    <w:t>47.24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-20</w:t>
                  </w:r>
                </w:p>
              </w:tc>
              <w:tc>
                <w:tcPr>
                  <w:tcW w:w="1250" w:type="pct"/>
                  <w:shd w:val="clear" w:color="auto" w:fill="auto"/>
                  <w:noWrap w:val="0"/>
                  <w:vAlign w:val="center"/>
                </w:tcPr>
                <w:p>
                  <w:pPr>
                    <w:jc w:val="center"/>
                    <w:rPr>
                      <w:szCs w:val="21"/>
                    </w:rPr>
                  </w:pPr>
                  <w:r>
                    <w:rPr>
                      <w:szCs w:val="21"/>
                    </w:rPr>
                    <w:t>34.57</w:t>
                  </w:r>
                </w:p>
              </w:tc>
              <w:tc>
                <w:tcPr>
                  <w:tcW w:w="1250" w:type="pct"/>
                  <w:shd w:val="clear" w:color="auto" w:fill="auto"/>
                  <w:noWrap w:val="0"/>
                  <w:vAlign w:val="center"/>
                </w:tcPr>
                <w:p>
                  <w:pPr>
                    <w:jc w:val="center"/>
                    <w:rPr>
                      <w:szCs w:val="21"/>
                    </w:rPr>
                  </w:pPr>
                  <w:r>
                    <w:rPr>
                      <w:szCs w:val="21"/>
                    </w:rPr>
                    <w:t>43.23</w:t>
                  </w:r>
                </w:p>
              </w:tc>
              <w:tc>
                <w:tcPr>
                  <w:tcW w:w="1250" w:type="pct"/>
                  <w:shd w:val="clear" w:color="auto" w:fill="auto"/>
                  <w:noWrap w:val="0"/>
                  <w:vAlign w:val="center"/>
                </w:tcPr>
                <w:p>
                  <w:pPr>
                    <w:jc w:val="center"/>
                    <w:rPr>
                      <w:szCs w:val="21"/>
                    </w:rPr>
                  </w:pPr>
                  <w:r>
                    <w:rPr>
                      <w:szCs w:val="21"/>
                    </w:rPr>
                    <w:t>55.35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-15</w:t>
                  </w:r>
                </w:p>
              </w:tc>
              <w:tc>
                <w:tcPr>
                  <w:tcW w:w="1250" w:type="pct"/>
                  <w:shd w:val="clear" w:color="auto" w:fill="auto"/>
                  <w:noWrap w:val="0"/>
                  <w:vAlign w:val="center"/>
                </w:tcPr>
                <w:p>
                  <w:pPr>
                    <w:jc w:val="center"/>
                    <w:rPr>
                      <w:szCs w:val="21"/>
                    </w:rPr>
                  </w:pPr>
                  <w:r>
                    <w:rPr>
                      <w:szCs w:val="21"/>
                    </w:rPr>
                    <w:t>48.67</w:t>
                  </w:r>
                </w:p>
              </w:tc>
              <w:tc>
                <w:tcPr>
                  <w:tcW w:w="1250" w:type="pct"/>
                  <w:shd w:val="clear" w:color="auto" w:fill="auto"/>
                  <w:noWrap w:val="0"/>
                  <w:vAlign w:val="center"/>
                </w:tcPr>
                <w:p>
                  <w:pPr>
                    <w:jc w:val="center"/>
                    <w:rPr>
                      <w:szCs w:val="21"/>
                    </w:rPr>
                  </w:pPr>
                  <w:r>
                    <w:rPr>
                      <w:szCs w:val="21"/>
                    </w:rPr>
                    <w:t>44.04</w:t>
                  </w:r>
                </w:p>
              </w:tc>
              <w:tc>
                <w:tcPr>
                  <w:tcW w:w="1250" w:type="pct"/>
                  <w:shd w:val="clear" w:color="auto" w:fill="auto"/>
                  <w:noWrap w:val="0"/>
                  <w:vAlign w:val="center"/>
                </w:tcPr>
                <w:p>
                  <w:pPr>
                    <w:jc w:val="center"/>
                    <w:rPr>
                      <w:szCs w:val="21"/>
                    </w:rPr>
                  </w:pPr>
                  <w:r>
                    <w:rPr>
                      <w:szCs w:val="21"/>
                    </w:rPr>
                    <w:t>65.64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-10</w:t>
                  </w:r>
                </w:p>
              </w:tc>
              <w:tc>
                <w:tcPr>
                  <w:tcW w:w="1250" w:type="pct"/>
                  <w:shd w:val="clear" w:color="auto" w:fill="auto"/>
                  <w:noWrap w:val="0"/>
                  <w:vAlign w:val="center"/>
                </w:tcPr>
                <w:p>
                  <w:pPr>
                    <w:jc w:val="center"/>
                    <w:rPr>
                      <w:szCs w:val="21"/>
                    </w:rPr>
                  </w:pPr>
                  <w:r>
                    <w:rPr>
                      <w:szCs w:val="21"/>
                    </w:rPr>
                    <w:t>67.14</w:t>
                  </w:r>
                </w:p>
              </w:tc>
              <w:tc>
                <w:tcPr>
                  <w:tcW w:w="1250" w:type="pct"/>
                  <w:shd w:val="clear" w:color="auto" w:fill="auto"/>
                  <w:noWrap w:val="0"/>
                  <w:vAlign w:val="center"/>
                </w:tcPr>
                <w:p>
                  <w:pPr>
                    <w:jc w:val="center"/>
                    <w:rPr>
                      <w:szCs w:val="21"/>
                    </w:rPr>
                  </w:pPr>
                  <w:r>
                    <w:rPr>
                      <w:szCs w:val="21"/>
                    </w:rPr>
                    <w:t>36.55</w:t>
                  </w:r>
                </w:p>
              </w:tc>
              <w:tc>
                <w:tcPr>
                  <w:tcW w:w="1250" w:type="pct"/>
                  <w:shd w:val="clear" w:color="auto" w:fill="auto"/>
                  <w:noWrap w:val="0"/>
                  <w:vAlign w:val="center"/>
                </w:tcPr>
                <w:p>
                  <w:pPr>
                    <w:jc w:val="center"/>
                    <w:rPr>
                      <w:szCs w:val="21"/>
                    </w:rPr>
                  </w:pPr>
                  <w:r>
                    <w:rPr>
                      <w:szCs w:val="21"/>
                    </w:rPr>
                    <w:t>76.45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-5</w:t>
                  </w:r>
                </w:p>
              </w:tc>
              <w:tc>
                <w:tcPr>
                  <w:tcW w:w="1250" w:type="pct"/>
                  <w:shd w:val="clear" w:color="auto" w:fill="auto"/>
                  <w:noWrap w:val="0"/>
                  <w:vAlign w:val="center"/>
                </w:tcPr>
                <w:p>
                  <w:pPr>
                    <w:jc w:val="center"/>
                    <w:rPr>
                      <w:szCs w:val="21"/>
                    </w:rPr>
                  </w:pPr>
                  <w:r>
                    <w:rPr>
                      <w:szCs w:val="21"/>
                    </w:rPr>
                    <w:t>79.86</w:t>
                  </w:r>
                </w:p>
              </w:tc>
              <w:tc>
                <w:tcPr>
                  <w:tcW w:w="1250" w:type="pct"/>
                  <w:shd w:val="clear" w:color="auto" w:fill="auto"/>
                  <w:noWrap w:val="0"/>
                  <w:vAlign w:val="center"/>
                </w:tcPr>
                <w:p>
                  <w:pPr>
                    <w:jc w:val="center"/>
                    <w:rPr>
                      <w:szCs w:val="21"/>
                    </w:rPr>
                  </w:pPr>
                  <w:r>
                    <w:rPr>
                      <w:szCs w:val="21"/>
                    </w:rPr>
                    <w:t>16.88</w:t>
                  </w:r>
                </w:p>
              </w:tc>
              <w:tc>
                <w:tcPr>
                  <w:tcW w:w="1250" w:type="pct"/>
                  <w:shd w:val="clear" w:color="auto" w:fill="auto"/>
                  <w:noWrap w:val="0"/>
                  <w:vAlign w:val="center"/>
                </w:tcPr>
                <w:p>
                  <w:pPr>
                    <w:jc w:val="center"/>
                    <w:rPr>
                      <w:szCs w:val="21"/>
                    </w:rPr>
                  </w:pPr>
                  <w:r>
                    <w:rPr>
                      <w:szCs w:val="21"/>
                    </w:rPr>
                    <w:t>81.62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0</w:t>
                  </w:r>
                </w:p>
              </w:tc>
              <w:tc>
                <w:tcPr>
                  <w:tcW w:w="1250" w:type="pct"/>
                  <w:shd w:val="clear" w:color="auto" w:fill="auto"/>
                  <w:noWrap w:val="0"/>
                  <w:vAlign w:val="center"/>
                </w:tcPr>
                <w:p>
                  <w:pPr>
                    <w:jc w:val="center"/>
                    <w:rPr>
                      <w:szCs w:val="21"/>
                    </w:rPr>
                  </w:pPr>
                  <w:r>
                    <w:rPr>
                      <w:szCs w:val="21"/>
                    </w:rPr>
                    <w:t>81.63</w:t>
                  </w:r>
                </w:p>
              </w:tc>
              <w:tc>
                <w:tcPr>
                  <w:tcW w:w="1250" w:type="pct"/>
                  <w:shd w:val="clear" w:color="auto" w:fill="auto"/>
                  <w:noWrap w:val="0"/>
                  <w:vAlign w:val="center"/>
                </w:tcPr>
                <w:p>
                  <w:pPr>
                    <w:jc w:val="center"/>
                    <w:rPr>
                      <w:szCs w:val="21"/>
                    </w:rPr>
                  </w:pPr>
                  <w:r>
                    <w:rPr>
                      <w:szCs w:val="21"/>
                    </w:rPr>
                    <w:t>4.06</w:t>
                  </w:r>
                </w:p>
              </w:tc>
              <w:tc>
                <w:tcPr>
                  <w:tcW w:w="1250" w:type="pct"/>
                  <w:shd w:val="clear" w:color="auto" w:fill="auto"/>
                  <w:noWrap w:val="0"/>
                  <w:vAlign w:val="center"/>
                </w:tcPr>
                <w:p>
                  <w:pPr>
                    <w:jc w:val="center"/>
                    <w:rPr>
                      <w:szCs w:val="21"/>
                    </w:rPr>
                  </w:pPr>
                  <w:r>
                    <w:rPr>
                      <w:szCs w:val="21"/>
                    </w:rPr>
                    <w:t>81.73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5</w:t>
                  </w:r>
                </w:p>
              </w:tc>
              <w:tc>
                <w:tcPr>
                  <w:tcW w:w="1250" w:type="pct"/>
                  <w:shd w:val="clear" w:color="auto" w:fill="auto"/>
                  <w:noWrap w:val="0"/>
                  <w:vAlign w:val="center"/>
                </w:tcPr>
                <w:p>
                  <w:pPr>
                    <w:jc w:val="center"/>
                    <w:rPr>
                      <w:szCs w:val="21"/>
                    </w:rPr>
                  </w:pPr>
                  <w:r>
                    <w:rPr>
                      <w:szCs w:val="21"/>
                    </w:rPr>
                    <w:t>76.37</w:t>
                  </w:r>
                </w:p>
              </w:tc>
              <w:tc>
                <w:tcPr>
                  <w:tcW w:w="1250" w:type="pct"/>
                  <w:shd w:val="clear" w:color="auto" w:fill="auto"/>
                  <w:noWrap w:val="0"/>
                  <w:vAlign w:val="center"/>
                </w:tcPr>
                <w:p>
                  <w:pPr>
                    <w:jc w:val="center"/>
                    <w:rPr>
                      <w:szCs w:val="21"/>
                    </w:rPr>
                  </w:pPr>
                  <w:r>
                    <w:rPr>
                      <w:szCs w:val="21"/>
                    </w:rPr>
                    <w:t>25.67</w:t>
                  </w:r>
                </w:p>
              </w:tc>
              <w:tc>
                <w:tcPr>
                  <w:tcW w:w="1250" w:type="pct"/>
                  <w:shd w:val="clear" w:color="auto" w:fill="auto"/>
                  <w:noWrap w:val="0"/>
                  <w:vAlign w:val="center"/>
                </w:tcPr>
                <w:p>
                  <w:pPr>
                    <w:jc w:val="center"/>
                    <w:rPr>
                      <w:szCs w:val="21"/>
                    </w:rPr>
                  </w:pPr>
                  <w:r>
                    <w:rPr>
                      <w:szCs w:val="21"/>
                    </w:rPr>
                    <w:t>80.57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10</w:t>
                  </w:r>
                </w:p>
              </w:tc>
              <w:tc>
                <w:tcPr>
                  <w:tcW w:w="1250" w:type="pct"/>
                  <w:shd w:val="clear" w:color="auto" w:fill="auto"/>
                  <w:noWrap w:val="0"/>
                  <w:vAlign w:val="center"/>
                </w:tcPr>
                <w:p>
                  <w:pPr>
                    <w:jc w:val="center"/>
                    <w:rPr>
                      <w:szCs w:val="21"/>
                    </w:rPr>
                  </w:pPr>
                  <w:r>
                    <w:rPr>
                      <w:szCs w:val="21"/>
                    </w:rPr>
                    <w:t>59.6</w:t>
                  </w:r>
                </w:p>
              </w:tc>
              <w:tc>
                <w:tcPr>
                  <w:tcW w:w="1250" w:type="pct"/>
                  <w:shd w:val="clear" w:color="auto" w:fill="auto"/>
                  <w:noWrap w:val="0"/>
                  <w:vAlign w:val="center"/>
                </w:tcPr>
                <w:p>
                  <w:pPr>
                    <w:jc w:val="center"/>
                    <w:rPr>
                      <w:szCs w:val="21"/>
                    </w:rPr>
                  </w:pPr>
                  <w:r>
                    <w:rPr>
                      <w:szCs w:val="21"/>
                    </w:rPr>
                    <w:t>41.08</w:t>
                  </w:r>
                </w:p>
              </w:tc>
              <w:tc>
                <w:tcPr>
                  <w:tcW w:w="1250" w:type="pct"/>
                  <w:shd w:val="clear" w:color="auto" w:fill="auto"/>
                  <w:noWrap w:val="0"/>
                  <w:vAlign w:val="center"/>
                </w:tcPr>
                <w:p>
                  <w:pPr>
                    <w:jc w:val="center"/>
                    <w:rPr>
                      <w:szCs w:val="21"/>
                    </w:rPr>
                  </w:pPr>
                  <w:r>
                    <w:rPr>
                      <w:szCs w:val="21"/>
                    </w:rPr>
                    <w:t>72.38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15</w:t>
                  </w:r>
                </w:p>
              </w:tc>
              <w:tc>
                <w:tcPr>
                  <w:tcW w:w="1250" w:type="pct"/>
                  <w:shd w:val="clear" w:color="auto" w:fill="auto"/>
                  <w:noWrap w:val="0"/>
                  <w:vAlign w:val="center"/>
                </w:tcPr>
                <w:p>
                  <w:pPr>
                    <w:jc w:val="center"/>
                    <w:rPr>
                      <w:szCs w:val="21"/>
                    </w:rPr>
                  </w:pPr>
                  <w:r>
                    <w:rPr>
                      <w:szCs w:val="21"/>
                    </w:rPr>
                    <w:t>42.36</w:t>
                  </w:r>
                </w:p>
              </w:tc>
              <w:tc>
                <w:tcPr>
                  <w:tcW w:w="1250" w:type="pct"/>
                  <w:shd w:val="clear" w:color="auto" w:fill="auto"/>
                  <w:noWrap w:val="0"/>
                  <w:vAlign w:val="center"/>
                </w:tcPr>
                <w:p>
                  <w:pPr>
                    <w:jc w:val="center"/>
                    <w:rPr>
                      <w:szCs w:val="21"/>
                    </w:rPr>
                  </w:pPr>
                  <w:r>
                    <w:rPr>
                      <w:szCs w:val="21"/>
                    </w:rPr>
                    <w:t>44.28</w:t>
                  </w:r>
                </w:p>
              </w:tc>
              <w:tc>
                <w:tcPr>
                  <w:tcW w:w="1250" w:type="pct"/>
                  <w:shd w:val="clear" w:color="auto" w:fill="auto"/>
                  <w:noWrap w:val="0"/>
                  <w:vAlign w:val="center"/>
                </w:tcPr>
                <w:p>
                  <w:pPr>
                    <w:jc w:val="center"/>
                    <w:rPr>
                      <w:szCs w:val="21"/>
                    </w:rPr>
                  </w:pPr>
                  <w:r>
                    <w:rPr>
                      <w:szCs w:val="21"/>
                    </w:rPr>
                    <w:t>61.28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20</w:t>
                  </w:r>
                </w:p>
              </w:tc>
              <w:tc>
                <w:tcPr>
                  <w:tcW w:w="1250" w:type="pct"/>
                  <w:shd w:val="clear" w:color="auto" w:fill="auto"/>
                  <w:noWrap w:val="0"/>
                  <w:vAlign w:val="center"/>
                </w:tcPr>
                <w:p>
                  <w:pPr>
                    <w:jc w:val="center"/>
                    <w:rPr>
                      <w:szCs w:val="21"/>
                    </w:rPr>
                  </w:pPr>
                  <w:r>
                    <w:rPr>
                      <w:szCs w:val="21"/>
                    </w:rPr>
                    <w:t>30.35</w:t>
                  </w:r>
                </w:p>
              </w:tc>
              <w:tc>
                <w:tcPr>
                  <w:tcW w:w="1250" w:type="pct"/>
                  <w:shd w:val="clear" w:color="auto" w:fill="auto"/>
                  <w:noWrap w:val="0"/>
                  <w:vAlign w:val="center"/>
                </w:tcPr>
                <w:p>
                  <w:pPr>
                    <w:jc w:val="center"/>
                    <w:rPr>
                      <w:szCs w:val="21"/>
                    </w:rPr>
                  </w:pPr>
                  <w:r>
                    <w:rPr>
                      <w:szCs w:val="21"/>
                    </w:rPr>
                    <w:t>42.04</w:t>
                  </w:r>
                </w:p>
              </w:tc>
              <w:tc>
                <w:tcPr>
                  <w:tcW w:w="1250" w:type="pct"/>
                  <w:shd w:val="clear" w:color="auto" w:fill="auto"/>
                  <w:noWrap w:val="0"/>
                  <w:vAlign w:val="center"/>
                </w:tcPr>
                <w:p>
                  <w:pPr>
                    <w:jc w:val="center"/>
                    <w:rPr>
                      <w:szCs w:val="21"/>
                    </w:rPr>
                  </w:pPr>
                  <w:r>
                    <w:rPr>
                      <w:szCs w:val="21"/>
                    </w:rPr>
                    <w:t>51.85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25</w:t>
                  </w:r>
                </w:p>
              </w:tc>
              <w:tc>
                <w:tcPr>
                  <w:tcW w:w="1250" w:type="pct"/>
                  <w:shd w:val="clear" w:color="auto" w:fill="auto"/>
                  <w:noWrap w:val="0"/>
                  <w:vAlign w:val="center"/>
                </w:tcPr>
                <w:p>
                  <w:pPr>
                    <w:jc w:val="center"/>
                    <w:rPr>
                      <w:szCs w:val="21"/>
                    </w:rPr>
                  </w:pPr>
                  <w:r>
                    <w:rPr>
                      <w:szCs w:val="21"/>
                    </w:rPr>
                    <w:t>22.41</w:t>
                  </w:r>
                </w:p>
              </w:tc>
              <w:tc>
                <w:tcPr>
                  <w:tcW w:w="1250" w:type="pct"/>
                  <w:shd w:val="clear" w:color="auto" w:fill="auto"/>
                  <w:noWrap w:val="0"/>
                  <w:vAlign w:val="center"/>
                </w:tcPr>
                <w:p>
                  <w:pPr>
                    <w:jc w:val="center"/>
                    <w:rPr>
                      <w:szCs w:val="21"/>
                    </w:rPr>
                  </w:pPr>
                  <w:r>
                    <w:rPr>
                      <w:szCs w:val="21"/>
                    </w:rPr>
                    <w:t>38.5</w:t>
                  </w:r>
                </w:p>
              </w:tc>
              <w:tc>
                <w:tcPr>
                  <w:tcW w:w="1250" w:type="pct"/>
                  <w:shd w:val="clear" w:color="auto" w:fill="auto"/>
                  <w:noWrap w:val="0"/>
                  <w:vAlign w:val="center"/>
                </w:tcPr>
                <w:p>
                  <w:pPr>
                    <w:jc w:val="center"/>
                    <w:rPr>
                      <w:szCs w:val="21"/>
                    </w:rPr>
                  </w:pPr>
                  <w:r>
                    <w:rPr>
                      <w:szCs w:val="21"/>
                    </w:rPr>
                    <w:t>44.54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30</w:t>
                  </w:r>
                </w:p>
              </w:tc>
              <w:tc>
                <w:tcPr>
                  <w:tcW w:w="1250" w:type="pct"/>
                  <w:shd w:val="clear" w:color="auto" w:fill="auto"/>
                  <w:noWrap w:val="0"/>
                  <w:vAlign w:val="center"/>
                </w:tcPr>
                <w:p>
                  <w:pPr>
                    <w:jc w:val="center"/>
                    <w:rPr>
                      <w:szCs w:val="21"/>
                    </w:rPr>
                  </w:pPr>
                  <w:r>
                    <w:rPr>
                      <w:szCs w:val="21"/>
                    </w:rPr>
                    <w:t>17.02</w:t>
                  </w:r>
                </w:p>
              </w:tc>
              <w:tc>
                <w:tcPr>
                  <w:tcW w:w="1250" w:type="pct"/>
                  <w:shd w:val="clear" w:color="auto" w:fill="auto"/>
                  <w:noWrap w:val="0"/>
                  <w:vAlign w:val="center"/>
                </w:tcPr>
                <w:p>
                  <w:pPr>
                    <w:jc w:val="center"/>
                    <w:rPr>
                      <w:szCs w:val="21"/>
                    </w:rPr>
                  </w:pPr>
                  <w:r>
                    <w:rPr>
                      <w:szCs w:val="21"/>
                    </w:rPr>
                    <w:t>34.94</w:t>
                  </w:r>
                </w:p>
              </w:tc>
              <w:tc>
                <w:tcPr>
                  <w:tcW w:w="1250" w:type="pct"/>
                  <w:shd w:val="clear" w:color="auto" w:fill="auto"/>
                  <w:noWrap w:val="0"/>
                  <w:vAlign w:val="center"/>
                </w:tcPr>
                <w:p>
                  <w:pPr>
                    <w:jc w:val="center"/>
                    <w:rPr>
                      <w:szCs w:val="21"/>
                    </w:rPr>
                  </w:pPr>
                  <w:r>
                    <w:rPr>
                      <w:szCs w:val="21"/>
                    </w:rPr>
                    <w:t>38.86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35</w:t>
                  </w:r>
                </w:p>
              </w:tc>
              <w:tc>
                <w:tcPr>
                  <w:tcW w:w="1250" w:type="pct"/>
                  <w:shd w:val="clear" w:color="auto" w:fill="auto"/>
                  <w:noWrap w:val="0"/>
                  <w:vAlign w:val="center"/>
                </w:tcPr>
                <w:p>
                  <w:pPr>
                    <w:jc w:val="center"/>
                    <w:rPr>
                      <w:szCs w:val="21"/>
                    </w:rPr>
                  </w:pPr>
                  <w:r>
                    <w:rPr>
                      <w:szCs w:val="21"/>
                    </w:rPr>
                    <w:t>13.25</w:t>
                  </w:r>
                </w:p>
              </w:tc>
              <w:tc>
                <w:tcPr>
                  <w:tcW w:w="1250" w:type="pct"/>
                  <w:shd w:val="clear" w:color="auto" w:fill="auto"/>
                  <w:noWrap w:val="0"/>
                  <w:vAlign w:val="center"/>
                </w:tcPr>
                <w:p>
                  <w:pPr>
                    <w:jc w:val="center"/>
                    <w:rPr>
                      <w:szCs w:val="21"/>
                    </w:rPr>
                  </w:pPr>
                  <w:r>
                    <w:rPr>
                      <w:szCs w:val="21"/>
                    </w:rPr>
                    <w:t>37.71</w:t>
                  </w:r>
                </w:p>
              </w:tc>
              <w:tc>
                <w:tcPr>
                  <w:tcW w:w="1250" w:type="pct"/>
                  <w:shd w:val="clear" w:color="auto" w:fill="auto"/>
                  <w:noWrap w:val="0"/>
                  <w:vAlign w:val="center"/>
                </w:tcPr>
                <w:p>
                  <w:pPr>
                    <w:jc w:val="center"/>
                    <w:rPr>
                      <w:szCs w:val="21"/>
                    </w:rPr>
                  </w:pPr>
                  <w:r>
                    <w:rPr>
                      <w:szCs w:val="21"/>
                    </w:rPr>
                    <w:t>34.36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shd w:val="clear" w:color="auto" w:fill="auto"/>
                  <w:noWrap/>
                  <w:vAlign w:val="center"/>
                </w:tcPr>
                <w:p>
                  <w:pPr>
                    <w:jc w:val="center"/>
                    <w:rPr>
                      <w:szCs w:val="21"/>
                    </w:rPr>
                  </w:pPr>
                  <w:r>
                    <w:rPr>
                      <w:szCs w:val="21"/>
                    </w:rPr>
                    <w:t>40</w:t>
                  </w:r>
                </w:p>
              </w:tc>
              <w:tc>
                <w:tcPr>
                  <w:tcW w:w="1250" w:type="pct"/>
                  <w:shd w:val="clear" w:color="auto" w:fill="auto"/>
                  <w:noWrap w:val="0"/>
                  <w:vAlign w:val="center"/>
                </w:tcPr>
                <w:p>
                  <w:pPr>
                    <w:jc w:val="center"/>
                    <w:rPr>
                      <w:szCs w:val="21"/>
                    </w:rPr>
                  </w:pPr>
                  <w:r>
                    <w:rPr>
                      <w:szCs w:val="21"/>
                    </w:rPr>
                    <w:t>10.53</w:t>
                  </w:r>
                </w:p>
              </w:tc>
              <w:tc>
                <w:tcPr>
                  <w:tcW w:w="1250" w:type="pct"/>
                  <w:shd w:val="clear" w:color="auto" w:fill="auto"/>
                  <w:noWrap w:val="0"/>
                  <w:vAlign w:val="center"/>
                </w:tcPr>
                <w:p>
                  <w:pPr>
                    <w:jc w:val="center"/>
                    <w:rPr>
                      <w:szCs w:val="21"/>
                    </w:rPr>
                  </w:pPr>
                  <w:r>
                    <w:rPr>
                      <w:szCs w:val="21"/>
                    </w:rPr>
                    <w:t>28.88</w:t>
                  </w:r>
                </w:p>
              </w:tc>
              <w:tc>
                <w:tcPr>
                  <w:tcW w:w="1250" w:type="pct"/>
                  <w:shd w:val="clear" w:color="auto" w:fill="auto"/>
                  <w:noWrap w:val="0"/>
                  <w:vAlign w:val="center"/>
                </w:tcPr>
                <w:p>
                  <w:pPr>
                    <w:jc w:val="center"/>
                    <w:rPr>
                      <w:szCs w:val="21"/>
                    </w:rPr>
                  </w:pPr>
                  <w:r>
                    <w:rPr>
                      <w:szCs w:val="21"/>
                    </w:rPr>
                    <w:t>30.74</w:t>
                  </w:r>
                </w:p>
              </w:tc>
            </w:tr>
          </w:tbl>
          <w:p>
            <w:pPr>
              <w:spacing w:line="360" w:lineRule="auto"/>
              <w:jc w:val="center"/>
              <w:rPr>
                <w:sz w:val="24"/>
              </w:rPr>
            </w:pPr>
            <w:r>
              <w:rPr>
                <w:sz w:val="24"/>
              </w:rPr>
              <w:drawing>
                <wp:inline distT="0" distB="0" distL="114300" distR="114300">
                  <wp:extent cx="5251450" cy="3180080"/>
                  <wp:effectExtent l="6350" t="6350" r="25400" b="13970"/>
                  <wp:docPr id="4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tabs>
                <w:tab w:val="left" w:pos="700"/>
              </w:tabs>
              <w:spacing w:line="500" w:lineRule="exact"/>
              <w:jc w:val="center"/>
              <w:rPr>
                <w:b/>
                <w:szCs w:val="21"/>
              </w:rPr>
            </w:pPr>
            <w:r>
              <w:rPr>
                <w:b/>
                <w:szCs w:val="21"/>
              </w:rPr>
              <w:t>图5  双回工频磁感应强度的总体分布情况</w:t>
            </w:r>
          </w:p>
          <w:p>
            <w:pPr>
              <w:spacing w:line="480" w:lineRule="exact"/>
              <w:ind w:firstLine="480" w:firstLineChars="200"/>
              <w:rPr>
                <w:sz w:val="24"/>
              </w:rPr>
            </w:pPr>
            <w:r>
              <w:rPr>
                <w:sz w:val="24"/>
              </w:rPr>
              <w:t>由表1</w:t>
            </w:r>
            <w:r>
              <w:rPr>
                <w:rFonts w:hint="eastAsia"/>
                <w:sz w:val="24"/>
              </w:rPr>
              <w:t>2</w:t>
            </w:r>
            <w:r>
              <w:rPr>
                <w:sz w:val="24"/>
              </w:rPr>
              <w:t>和图5可以看出，双回工频磁感应强度综合量最大值出现在距线路中心线投影0m处，其值为81.73μT，之后随与此点距离的增加，其值逐步降低，所有点位的工频磁感应强度均符合100μT的评价标准。</w:t>
            </w:r>
          </w:p>
          <w:p>
            <w:pPr>
              <w:spacing w:line="480" w:lineRule="exact"/>
              <w:ind w:firstLine="480" w:firstLineChars="200"/>
              <w:rPr>
                <w:b/>
                <w:sz w:val="24"/>
              </w:rPr>
            </w:pPr>
            <w:r>
              <w:rPr>
                <w:b/>
                <w:sz w:val="24"/>
              </w:rPr>
              <w:t>2、输电线路声环境影响分析</w:t>
            </w:r>
          </w:p>
          <w:p>
            <w:pPr>
              <w:spacing w:line="480" w:lineRule="exact"/>
              <w:ind w:firstLine="482"/>
              <w:rPr>
                <w:rFonts w:hint="eastAsia"/>
                <w:sz w:val="24"/>
              </w:rPr>
            </w:pPr>
            <w:r>
              <w:rPr>
                <w:sz w:val="24"/>
              </w:rPr>
              <w:t>线路投入使用后，220kV架空线路噪声源主要是高压线的电晕放电而引起的无规则噪声以及输电线路的电荷运动产生的交流声，同时因高空风速大，线路振动发出一些风鸣声，但噪声级很小，一般情况下220kV输电线路走廊下方的噪声值与声环境背景值很接近，可听噪声值一般小于45dB(A)，与生活、交通、工厂等其它噪声源相比要小得多，并常常为背景噪声所淹没，因此不会对周围村庄的声环境产生不良影响。</w:t>
            </w:r>
          </w:p>
          <w:p>
            <w:pPr>
              <w:spacing w:line="480" w:lineRule="atLeast"/>
              <w:ind w:firstLine="480" w:firstLineChars="200"/>
              <w:rPr>
                <w:rFonts w:hint="eastAsia"/>
                <w:sz w:val="24"/>
              </w:rPr>
            </w:pPr>
            <w:r>
              <w:rPr>
                <w:rFonts w:hint="eastAsia"/>
                <w:sz w:val="24"/>
              </w:rPr>
              <w:t>经收集资料和现场踏勘，本项目线路工程与已经建成运行的邢台供电分公司广元（顺德）500kV变电站扩建220kV线路切改工程电压等级相同，所以将其作为本项目的类比对象。通过对广元（顺德）500kV变电站扩建220kV线路切改工程（邢辐环监（2015）第198号）噪声的实际监测，分析预测本项目运行后产生的噪声对周围环境的影响范围和程度。广元（顺德）500kV变电站扩建220kV线路切改工程（邢辐环监（2015）第198号）噪声监测值为昼间51.3-52.8 dB（A），夜间41.3-42.2dB（A），</w:t>
            </w:r>
            <w:r>
              <w:rPr>
                <w:sz w:val="24"/>
              </w:rPr>
              <w:t>满足《工业企业厂界环境噪声排放标准》（GB12348-2008）</w:t>
            </w:r>
            <w:r>
              <w:rPr>
                <w:rFonts w:hint="eastAsia"/>
                <w:sz w:val="24"/>
              </w:rPr>
              <w:t>1</w:t>
            </w:r>
            <w:r>
              <w:rPr>
                <w:sz w:val="24"/>
              </w:rPr>
              <w:t>类，即昼间</w:t>
            </w:r>
            <w:r>
              <w:rPr>
                <w:rFonts w:hint="eastAsia"/>
                <w:sz w:val="24"/>
              </w:rPr>
              <w:t>55</w:t>
            </w:r>
            <w:r>
              <w:rPr>
                <w:sz w:val="24"/>
              </w:rPr>
              <w:t>dB（A），夜间</w:t>
            </w:r>
            <w:r>
              <w:rPr>
                <w:rFonts w:hint="eastAsia"/>
                <w:sz w:val="24"/>
              </w:rPr>
              <w:t>45</w:t>
            </w:r>
            <w:r>
              <w:rPr>
                <w:sz w:val="24"/>
              </w:rPr>
              <w:t>dB（A）。</w:t>
            </w:r>
          </w:p>
          <w:p>
            <w:pPr>
              <w:spacing w:line="480" w:lineRule="exact"/>
              <w:ind w:firstLine="480" w:firstLineChars="200"/>
              <w:rPr>
                <w:rFonts w:hint="eastAsia"/>
                <w:b/>
                <w:sz w:val="24"/>
              </w:rPr>
            </w:pPr>
            <w:r>
              <w:rPr>
                <w:rFonts w:hint="eastAsia"/>
                <w:b/>
                <w:sz w:val="24"/>
              </w:rPr>
              <w:t>3、施工期环境监理</w:t>
            </w:r>
          </w:p>
          <w:p>
            <w:pPr>
              <w:spacing w:line="480" w:lineRule="exact"/>
              <w:ind w:firstLine="480" w:firstLineChars="200"/>
              <w:jc w:val="left"/>
              <w:rPr>
                <w:rFonts w:hint="eastAsia"/>
                <w:sz w:val="24"/>
              </w:rPr>
            </w:pPr>
            <w:r>
              <w:rPr>
                <w:rFonts w:hint="eastAsia"/>
                <w:sz w:val="24"/>
              </w:rPr>
              <w:t>项目施工期的环境监理机构由建设单位和监理机构共同组成，有环保相关主管部门进行监督，共同进行施工期的环境监理。施工期环境监理一览表见表13。</w:t>
            </w:r>
          </w:p>
          <w:p>
            <w:pPr>
              <w:spacing w:line="480" w:lineRule="exact"/>
              <w:jc w:val="center"/>
              <w:rPr>
                <w:b/>
                <w:bCs/>
                <w:szCs w:val="21"/>
              </w:rPr>
            </w:pPr>
            <w:r>
              <w:rPr>
                <w:b/>
                <w:bCs/>
                <w:szCs w:val="21"/>
              </w:rPr>
              <w:t>表</w:t>
            </w:r>
            <w:r>
              <w:rPr>
                <w:rFonts w:hint="eastAsia"/>
                <w:b/>
                <w:bCs/>
                <w:szCs w:val="21"/>
              </w:rPr>
              <w:t>13</w:t>
            </w:r>
            <w:r>
              <w:rPr>
                <w:b/>
                <w:bCs/>
                <w:szCs w:val="21"/>
              </w:rPr>
              <w:t xml:space="preserve">   施工期环境监理一览表</w:t>
            </w:r>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204"/>
              <w:gridCol w:w="710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472" w:hRule="atLeast"/>
                <w:jc w:val="center"/>
              </w:trPr>
              <w:tc>
                <w:tcPr>
                  <w:tcW w:w="725" w:type="pct"/>
                  <w:noWrap w:val="0"/>
                  <w:vAlign w:val="center"/>
                </w:tcPr>
                <w:p>
                  <w:pPr>
                    <w:tabs>
                      <w:tab w:val="left" w:pos="3318"/>
                    </w:tabs>
                    <w:spacing w:line="360" w:lineRule="exact"/>
                    <w:jc w:val="center"/>
                    <w:rPr>
                      <w:szCs w:val="21"/>
                    </w:rPr>
                  </w:pPr>
                  <w:r>
                    <w:rPr>
                      <w:szCs w:val="21"/>
                    </w:rPr>
                    <w:t>潜在的影响</w:t>
                  </w:r>
                </w:p>
              </w:tc>
              <w:tc>
                <w:tcPr>
                  <w:tcW w:w="4275" w:type="pct"/>
                  <w:noWrap w:val="0"/>
                  <w:vAlign w:val="center"/>
                </w:tcPr>
                <w:p>
                  <w:pPr>
                    <w:pStyle w:val="27"/>
                    <w:tabs>
                      <w:tab w:val="left" w:pos="3318"/>
                      <w:tab w:val="clear" w:pos="4153"/>
                      <w:tab w:val="clear" w:pos="8306"/>
                    </w:tabs>
                    <w:snapToGrid/>
                    <w:spacing w:line="360" w:lineRule="exact"/>
                    <w:rPr>
                      <w:sz w:val="21"/>
                      <w:szCs w:val="21"/>
                    </w:rPr>
                  </w:pPr>
                  <w:r>
                    <w:rPr>
                      <w:sz w:val="21"/>
                      <w:szCs w:val="21"/>
                    </w:rPr>
                    <w:t>减缓措施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457" w:hRule="atLeast"/>
                <w:jc w:val="center"/>
              </w:trPr>
              <w:tc>
                <w:tcPr>
                  <w:tcW w:w="725" w:type="pct"/>
                  <w:noWrap w:val="0"/>
                  <w:vAlign w:val="center"/>
                </w:tcPr>
                <w:p>
                  <w:pPr>
                    <w:tabs>
                      <w:tab w:val="left" w:pos="3318"/>
                    </w:tabs>
                    <w:spacing w:line="360" w:lineRule="exact"/>
                    <w:jc w:val="center"/>
                    <w:rPr>
                      <w:szCs w:val="21"/>
                    </w:rPr>
                  </w:pPr>
                  <w:r>
                    <w:rPr>
                      <w:szCs w:val="21"/>
                    </w:rPr>
                    <w:t>征用土地</w:t>
                  </w:r>
                </w:p>
              </w:tc>
              <w:tc>
                <w:tcPr>
                  <w:tcW w:w="4275" w:type="pct"/>
                  <w:noWrap w:val="0"/>
                  <w:vAlign w:val="center"/>
                </w:tcPr>
                <w:p>
                  <w:pPr>
                    <w:tabs>
                      <w:tab w:val="left" w:pos="3318"/>
                    </w:tabs>
                    <w:spacing w:line="360" w:lineRule="exact"/>
                    <w:rPr>
                      <w:szCs w:val="21"/>
                    </w:rPr>
                  </w:pPr>
                  <w:r>
                    <w:rPr>
                      <w:szCs w:val="21"/>
                    </w:rPr>
                    <w:t>精心设计，点征方式，尽量少占</w:t>
                  </w:r>
                  <w:r>
                    <w:rPr>
                      <w:rFonts w:hint="eastAsia"/>
                      <w:szCs w:val="21"/>
                    </w:rPr>
                    <w:t>林地</w:t>
                  </w:r>
                  <w:r>
                    <w:rPr>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870" w:hRule="atLeast"/>
                <w:jc w:val="center"/>
              </w:trPr>
              <w:tc>
                <w:tcPr>
                  <w:tcW w:w="725" w:type="pct"/>
                  <w:noWrap w:val="0"/>
                  <w:vAlign w:val="center"/>
                </w:tcPr>
                <w:p>
                  <w:pPr>
                    <w:tabs>
                      <w:tab w:val="left" w:pos="3318"/>
                    </w:tabs>
                    <w:spacing w:line="360" w:lineRule="exact"/>
                    <w:jc w:val="center"/>
                    <w:rPr>
                      <w:szCs w:val="21"/>
                    </w:rPr>
                  </w:pPr>
                  <w:r>
                    <w:rPr>
                      <w:szCs w:val="21"/>
                    </w:rPr>
                    <w:t>大气环境</w:t>
                  </w:r>
                </w:p>
              </w:tc>
              <w:tc>
                <w:tcPr>
                  <w:tcW w:w="4275" w:type="pct"/>
                  <w:noWrap w:val="0"/>
                  <w:vAlign w:val="center"/>
                </w:tcPr>
                <w:p>
                  <w:pPr>
                    <w:tabs>
                      <w:tab w:val="left" w:pos="3318"/>
                    </w:tabs>
                    <w:spacing w:line="360" w:lineRule="exact"/>
                    <w:rPr>
                      <w:rFonts w:hint="eastAsia"/>
                      <w:szCs w:val="21"/>
                    </w:rPr>
                  </w:pPr>
                  <w:r>
                    <w:rPr>
                      <w:rFonts w:hint="eastAsia"/>
                      <w:szCs w:val="21"/>
                    </w:rPr>
                    <w:t>①</w:t>
                  </w:r>
                  <w:r>
                    <w:rPr>
                      <w:szCs w:val="21"/>
                    </w:rPr>
                    <w:t>施工现场及道路在干旱季节定期洒水</w:t>
                  </w:r>
                  <w:r>
                    <w:rPr>
                      <w:rFonts w:hint="eastAsia"/>
                      <w:szCs w:val="21"/>
                    </w:rPr>
                    <w:t>，保持道路干净、整洁，降低扬尘产生。</w:t>
                  </w:r>
                </w:p>
                <w:p>
                  <w:pPr>
                    <w:tabs>
                      <w:tab w:val="left" w:pos="3318"/>
                    </w:tabs>
                    <w:spacing w:line="360" w:lineRule="exact"/>
                    <w:rPr>
                      <w:rFonts w:hint="eastAsia"/>
                      <w:szCs w:val="21"/>
                    </w:rPr>
                  </w:pPr>
                  <w:r>
                    <w:rPr>
                      <w:rFonts w:hint="eastAsia"/>
                      <w:szCs w:val="21"/>
                    </w:rPr>
                    <w:t>②</w:t>
                  </w:r>
                  <w:r>
                    <w:rPr>
                      <w:szCs w:val="21"/>
                    </w:rPr>
                    <w:t>风速大时停止土石方施工。</w:t>
                  </w:r>
                </w:p>
                <w:p>
                  <w:pPr>
                    <w:tabs>
                      <w:tab w:val="left" w:pos="3318"/>
                    </w:tabs>
                    <w:spacing w:line="360" w:lineRule="exact"/>
                    <w:rPr>
                      <w:szCs w:val="21"/>
                    </w:rPr>
                  </w:pPr>
                  <w:r>
                    <w:rPr>
                      <w:rFonts w:hint="eastAsia"/>
                      <w:szCs w:val="21"/>
                    </w:rPr>
                    <w:t>③运输车辆</w:t>
                  </w:r>
                  <w:r>
                    <w:rPr>
                      <w:szCs w:val="21"/>
                    </w:rPr>
                    <w:t>帆布遮盖。</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658" w:hRule="atLeast"/>
                <w:jc w:val="center"/>
              </w:trPr>
              <w:tc>
                <w:tcPr>
                  <w:tcW w:w="725" w:type="pct"/>
                  <w:noWrap w:val="0"/>
                  <w:vAlign w:val="center"/>
                </w:tcPr>
                <w:p>
                  <w:pPr>
                    <w:tabs>
                      <w:tab w:val="left" w:pos="3318"/>
                    </w:tabs>
                    <w:spacing w:line="360" w:lineRule="exact"/>
                    <w:jc w:val="center"/>
                    <w:rPr>
                      <w:szCs w:val="21"/>
                    </w:rPr>
                  </w:pPr>
                  <w:r>
                    <w:rPr>
                      <w:szCs w:val="21"/>
                    </w:rPr>
                    <w:t>固   废</w:t>
                  </w:r>
                </w:p>
              </w:tc>
              <w:tc>
                <w:tcPr>
                  <w:tcW w:w="4275" w:type="pct"/>
                  <w:noWrap w:val="0"/>
                  <w:vAlign w:val="center"/>
                </w:tcPr>
                <w:p>
                  <w:pPr>
                    <w:tabs>
                      <w:tab w:val="left" w:pos="3318"/>
                    </w:tabs>
                    <w:spacing w:line="360" w:lineRule="exact"/>
                    <w:rPr>
                      <w:rFonts w:hint="eastAsia"/>
                      <w:szCs w:val="21"/>
                    </w:rPr>
                  </w:pPr>
                  <w:r>
                    <w:rPr>
                      <w:rFonts w:hint="eastAsia"/>
                      <w:szCs w:val="21"/>
                    </w:rPr>
                    <w:t>①挖出弃渣集中堆置，及时回填</w:t>
                  </w:r>
                  <w:r>
                    <w:rPr>
                      <w:szCs w:val="21"/>
                    </w:rPr>
                    <w:t>。</w:t>
                  </w:r>
                </w:p>
                <w:p>
                  <w:pPr>
                    <w:tabs>
                      <w:tab w:val="left" w:pos="3318"/>
                    </w:tabs>
                    <w:spacing w:line="360" w:lineRule="exact"/>
                    <w:rPr>
                      <w:szCs w:val="21"/>
                    </w:rPr>
                  </w:pPr>
                  <w:r>
                    <w:rPr>
                      <w:rFonts w:hint="eastAsia"/>
                      <w:szCs w:val="21"/>
                    </w:rPr>
                    <w:t>②</w:t>
                  </w:r>
                  <w:r>
                    <w:rPr>
                      <w:szCs w:val="21"/>
                    </w:rPr>
                    <w:t>生活垃圾设集中堆放</w:t>
                  </w:r>
                  <w:r>
                    <w:rPr>
                      <w:rFonts w:hint="eastAsia"/>
                      <w:szCs w:val="21"/>
                    </w:rPr>
                    <w:t>点</w:t>
                  </w:r>
                  <w:r>
                    <w:rPr>
                      <w:szCs w:val="21"/>
                    </w:rPr>
                    <w:t>，</w:t>
                  </w:r>
                  <w:r>
                    <w:rPr>
                      <w:rFonts w:hint="eastAsia"/>
                      <w:szCs w:val="21"/>
                    </w:rPr>
                    <w:t>车辆</w:t>
                  </w:r>
                  <w:r>
                    <w:rPr>
                      <w:szCs w:val="21"/>
                    </w:rPr>
                    <w:t>定期清运</w:t>
                  </w:r>
                  <w:r>
                    <w:rPr>
                      <w:rFonts w:hint="eastAsia"/>
                      <w:szCs w:val="21"/>
                    </w:rPr>
                    <w:t>，严禁随地堆置</w:t>
                  </w:r>
                  <w:r>
                    <w:rPr>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463" w:hRule="atLeast"/>
                <w:jc w:val="center"/>
              </w:trPr>
              <w:tc>
                <w:tcPr>
                  <w:tcW w:w="725" w:type="pct"/>
                  <w:noWrap w:val="0"/>
                  <w:vAlign w:val="center"/>
                </w:tcPr>
                <w:p>
                  <w:pPr>
                    <w:tabs>
                      <w:tab w:val="left" w:pos="3318"/>
                    </w:tabs>
                    <w:spacing w:line="360" w:lineRule="exact"/>
                    <w:jc w:val="center"/>
                    <w:rPr>
                      <w:szCs w:val="21"/>
                    </w:rPr>
                  </w:pPr>
                  <w:r>
                    <w:rPr>
                      <w:szCs w:val="21"/>
                    </w:rPr>
                    <w:t>废   水</w:t>
                  </w:r>
                </w:p>
              </w:tc>
              <w:tc>
                <w:tcPr>
                  <w:tcW w:w="4275" w:type="pct"/>
                  <w:noWrap w:val="0"/>
                  <w:vAlign w:val="center"/>
                </w:tcPr>
                <w:p>
                  <w:pPr>
                    <w:spacing w:line="360" w:lineRule="exact"/>
                    <w:rPr>
                      <w:rFonts w:hint="eastAsia"/>
                      <w:szCs w:val="21"/>
                    </w:rPr>
                  </w:pPr>
                  <w:r>
                    <w:rPr>
                      <w:rFonts w:hint="eastAsia"/>
                      <w:szCs w:val="21"/>
                    </w:rPr>
                    <w:t>生产废水设置的临时沉淀池，水经沉淀后循环使用，不得浪费。</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1335" w:hRule="atLeast"/>
                <w:jc w:val="center"/>
              </w:trPr>
              <w:tc>
                <w:tcPr>
                  <w:tcW w:w="725" w:type="pct"/>
                  <w:noWrap w:val="0"/>
                  <w:vAlign w:val="center"/>
                </w:tcPr>
                <w:p>
                  <w:pPr>
                    <w:pStyle w:val="27"/>
                    <w:tabs>
                      <w:tab w:val="left" w:pos="3318"/>
                      <w:tab w:val="clear" w:pos="4153"/>
                      <w:tab w:val="clear" w:pos="8306"/>
                    </w:tabs>
                    <w:snapToGrid/>
                    <w:spacing w:line="360" w:lineRule="exact"/>
                    <w:rPr>
                      <w:sz w:val="21"/>
                      <w:szCs w:val="21"/>
                    </w:rPr>
                  </w:pPr>
                  <w:r>
                    <w:rPr>
                      <w:sz w:val="21"/>
                      <w:szCs w:val="21"/>
                    </w:rPr>
                    <w:t>生态环境</w:t>
                  </w:r>
                </w:p>
              </w:tc>
              <w:tc>
                <w:tcPr>
                  <w:tcW w:w="4275" w:type="pct"/>
                  <w:noWrap w:val="0"/>
                  <w:vAlign w:val="center"/>
                </w:tcPr>
                <w:p>
                  <w:pPr>
                    <w:spacing w:line="360" w:lineRule="exact"/>
                    <w:rPr>
                      <w:szCs w:val="21"/>
                    </w:rPr>
                  </w:pPr>
                  <w:r>
                    <w:rPr>
                      <w:rFonts w:hint="eastAsia"/>
                      <w:szCs w:val="21"/>
                    </w:rPr>
                    <w:t>①监督落实水保设计</w:t>
                  </w:r>
                  <w:r>
                    <w:rPr>
                      <w:szCs w:val="21"/>
                    </w:rPr>
                    <w:t>采取</w:t>
                  </w:r>
                  <w:r>
                    <w:rPr>
                      <w:rFonts w:hint="eastAsia"/>
                      <w:szCs w:val="21"/>
                    </w:rPr>
                    <w:t>的</w:t>
                  </w:r>
                  <w:r>
                    <w:rPr>
                      <w:szCs w:val="21"/>
                    </w:rPr>
                    <w:t>截洪、排水沟等一系列防止水土流失措施</w:t>
                  </w:r>
                  <w:r>
                    <w:rPr>
                      <w:rFonts w:hint="eastAsia"/>
                      <w:szCs w:val="21"/>
                    </w:rPr>
                    <w:t>，保护环境，并控制水土流失</w:t>
                  </w:r>
                  <w:r>
                    <w:rPr>
                      <w:szCs w:val="21"/>
                    </w:rPr>
                    <w:t>。</w:t>
                  </w:r>
                </w:p>
                <w:p>
                  <w:pPr>
                    <w:tabs>
                      <w:tab w:val="left" w:pos="3318"/>
                    </w:tabs>
                    <w:spacing w:line="360" w:lineRule="exact"/>
                    <w:rPr>
                      <w:rFonts w:hint="eastAsia"/>
                      <w:szCs w:val="21"/>
                    </w:rPr>
                  </w:pPr>
                  <w:r>
                    <w:rPr>
                      <w:rFonts w:hint="eastAsia"/>
                      <w:szCs w:val="21"/>
                    </w:rPr>
                    <w:t>②施工结束后临时占地恢复植被</w:t>
                  </w:r>
                  <w:r>
                    <w:rPr>
                      <w:szCs w:val="21"/>
                    </w:rPr>
                    <w:t>。</w:t>
                  </w:r>
                </w:p>
                <w:p>
                  <w:pPr>
                    <w:tabs>
                      <w:tab w:val="left" w:pos="3318"/>
                    </w:tabs>
                    <w:spacing w:line="360" w:lineRule="exact"/>
                    <w:rPr>
                      <w:rFonts w:hint="eastAsia"/>
                      <w:szCs w:val="21"/>
                    </w:rPr>
                  </w:pPr>
                  <w:r>
                    <w:rPr>
                      <w:rFonts w:hint="eastAsia"/>
                      <w:szCs w:val="21"/>
                    </w:rPr>
                    <w:t>③施工生产生活区内表土及草皮的洒水养护、密目网遮盖。</w:t>
                  </w:r>
                </w:p>
                <w:p>
                  <w:pPr>
                    <w:tabs>
                      <w:tab w:val="left" w:pos="3318"/>
                    </w:tabs>
                    <w:spacing w:line="360" w:lineRule="exact"/>
                    <w:rPr>
                      <w:rFonts w:hint="eastAsia"/>
                      <w:szCs w:val="21"/>
                    </w:rPr>
                  </w:pPr>
                  <w:r>
                    <w:rPr>
                      <w:rFonts w:hint="eastAsia"/>
                      <w:szCs w:val="21"/>
                    </w:rPr>
                    <w:t>④施工场地设置宣传栏，禁止越界活动、破坏环境，提高施工人员环保意识。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464" w:hRule="atLeast"/>
                <w:jc w:val="center"/>
              </w:trPr>
              <w:tc>
                <w:tcPr>
                  <w:tcW w:w="725" w:type="pct"/>
                  <w:noWrap w:val="0"/>
                  <w:vAlign w:val="center"/>
                </w:tcPr>
                <w:p>
                  <w:pPr>
                    <w:pStyle w:val="27"/>
                    <w:tabs>
                      <w:tab w:val="left" w:pos="3318"/>
                      <w:tab w:val="clear" w:pos="4153"/>
                      <w:tab w:val="clear" w:pos="8306"/>
                    </w:tabs>
                    <w:snapToGrid/>
                    <w:spacing w:line="360" w:lineRule="exact"/>
                    <w:rPr>
                      <w:sz w:val="21"/>
                      <w:szCs w:val="21"/>
                    </w:rPr>
                  </w:pPr>
                  <w:r>
                    <w:rPr>
                      <w:sz w:val="21"/>
                      <w:szCs w:val="21"/>
                    </w:rPr>
                    <w:t>施工噪声</w:t>
                  </w:r>
                </w:p>
              </w:tc>
              <w:tc>
                <w:tcPr>
                  <w:tcW w:w="4275" w:type="pct"/>
                  <w:noWrap w:val="0"/>
                  <w:vAlign w:val="center"/>
                </w:tcPr>
                <w:p>
                  <w:pPr>
                    <w:tabs>
                      <w:tab w:val="left" w:pos="3318"/>
                    </w:tabs>
                    <w:spacing w:line="360" w:lineRule="exact"/>
                    <w:rPr>
                      <w:rFonts w:hint="eastAsia"/>
                      <w:szCs w:val="21"/>
                    </w:rPr>
                  </w:pPr>
                  <w:r>
                    <w:rPr>
                      <w:rFonts w:hint="eastAsia"/>
                      <w:szCs w:val="21"/>
                    </w:rPr>
                    <w:t>①</w:t>
                  </w:r>
                  <w:r>
                    <w:rPr>
                      <w:szCs w:val="21"/>
                    </w:rPr>
                    <w:t>加强对机械和车辆的维修以使它们保持较低的噪声。</w:t>
                  </w:r>
                </w:p>
                <w:p>
                  <w:pPr>
                    <w:tabs>
                      <w:tab w:val="left" w:pos="3318"/>
                    </w:tabs>
                    <w:spacing w:line="360" w:lineRule="exact"/>
                    <w:rPr>
                      <w:rFonts w:hint="eastAsia"/>
                      <w:szCs w:val="21"/>
                    </w:rPr>
                  </w:pPr>
                  <w:r>
                    <w:rPr>
                      <w:rFonts w:hint="eastAsia"/>
                      <w:szCs w:val="21"/>
                    </w:rPr>
                    <w:t>②加强施工活动的管理监理。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714" w:hRule="atLeast"/>
                <w:jc w:val="center"/>
              </w:trPr>
              <w:tc>
                <w:tcPr>
                  <w:tcW w:w="725" w:type="pct"/>
                  <w:noWrap w:val="0"/>
                  <w:vAlign w:val="center"/>
                </w:tcPr>
                <w:p>
                  <w:pPr>
                    <w:tabs>
                      <w:tab w:val="left" w:pos="3318"/>
                    </w:tabs>
                    <w:spacing w:line="360" w:lineRule="exact"/>
                    <w:jc w:val="center"/>
                    <w:rPr>
                      <w:szCs w:val="21"/>
                    </w:rPr>
                  </w:pPr>
                  <w:r>
                    <w:rPr>
                      <w:szCs w:val="21"/>
                    </w:rPr>
                    <w:t>运输管理</w:t>
                  </w:r>
                </w:p>
              </w:tc>
              <w:tc>
                <w:tcPr>
                  <w:tcW w:w="4275" w:type="pct"/>
                  <w:noWrap w:val="0"/>
                  <w:vAlign w:val="center"/>
                </w:tcPr>
                <w:p>
                  <w:pPr>
                    <w:tabs>
                      <w:tab w:val="left" w:pos="3318"/>
                    </w:tabs>
                    <w:spacing w:line="360" w:lineRule="exact"/>
                    <w:rPr>
                      <w:rFonts w:hint="eastAsia"/>
                      <w:szCs w:val="21"/>
                    </w:rPr>
                  </w:pPr>
                  <w:r>
                    <w:rPr>
                      <w:rFonts w:hint="eastAsia"/>
                      <w:szCs w:val="21"/>
                    </w:rPr>
                    <w:t>①</w:t>
                  </w:r>
                  <w:r>
                    <w:rPr>
                      <w:szCs w:val="21"/>
                    </w:rPr>
                    <w:t>建筑材料的运送路线要仔细选定，避免长途运输，尽量避免影响现有的交通设施，减少粉尘和噪声污染。</w:t>
                  </w:r>
                </w:p>
                <w:p>
                  <w:pPr>
                    <w:tabs>
                      <w:tab w:val="left" w:pos="3318"/>
                    </w:tabs>
                    <w:spacing w:line="360" w:lineRule="exact"/>
                    <w:rPr>
                      <w:rFonts w:hint="eastAsia"/>
                      <w:szCs w:val="21"/>
                    </w:rPr>
                  </w:pPr>
                  <w:r>
                    <w:rPr>
                      <w:rFonts w:hint="eastAsia"/>
                      <w:szCs w:val="21"/>
                    </w:rPr>
                    <w:t>②运输车辆加盖篷布。</w:t>
                  </w:r>
                </w:p>
              </w:tc>
            </w:tr>
          </w:tbl>
          <w:p>
            <w:pPr>
              <w:tabs>
                <w:tab w:val="left" w:pos="7432"/>
              </w:tabs>
              <w:spacing w:line="480" w:lineRule="exact"/>
              <w:ind w:firstLine="482"/>
              <w:rPr>
                <w:b/>
                <w:sz w:val="24"/>
              </w:rPr>
            </w:pPr>
            <w:r>
              <w:rPr>
                <w:b/>
                <w:sz w:val="24"/>
              </w:rPr>
              <w:t>3、建设项目环境保护“三同时”验收单</w:t>
            </w:r>
            <w:r>
              <w:rPr>
                <w:b/>
                <w:sz w:val="24"/>
              </w:rPr>
              <w:tab/>
            </w:r>
          </w:p>
          <w:p>
            <w:pPr>
              <w:spacing w:line="480" w:lineRule="exact"/>
              <w:ind w:firstLine="480"/>
              <w:rPr>
                <w:sz w:val="24"/>
              </w:rPr>
            </w:pPr>
            <w:r>
              <w:rPr>
                <w:sz w:val="24"/>
              </w:rPr>
              <w:t>根据国家有关法律法规，环境保护设施必须与主体工程同时设计，同时施工，同时投产使用，为便于主管部门对本项目环保设施进行验收，现按国家有关规定，提出建设项目环境保护“三同时”验收一览表，见表1</w:t>
            </w:r>
            <w:r>
              <w:rPr>
                <w:rFonts w:hint="eastAsia"/>
                <w:sz w:val="24"/>
              </w:rPr>
              <w:t>4</w:t>
            </w:r>
            <w:r>
              <w:rPr>
                <w:sz w:val="24"/>
              </w:rPr>
              <w:t>。</w:t>
            </w:r>
          </w:p>
          <w:p>
            <w:pPr>
              <w:spacing w:line="480" w:lineRule="exact"/>
              <w:jc w:val="center"/>
              <w:rPr>
                <w:rFonts w:hint="eastAsia"/>
                <w:b/>
                <w:szCs w:val="21"/>
              </w:rPr>
            </w:pPr>
          </w:p>
          <w:p>
            <w:pPr>
              <w:spacing w:line="480" w:lineRule="exact"/>
              <w:jc w:val="center"/>
              <w:rPr>
                <w:rFonts w:hint="eastAsia"/>
                <w:b/>
                <w:szCs w:val="21"/>
              </w:rPr>
            </w:pPr>
          </w:p>
          <w:p>
            <w:pPr>
              <w:spacing w:line="480" w:lineRule="exact"/>
              <w:jc w:val="center"/>
              <w:rPr>
                <w:rFonts w:hint="eastAsia"/>
                <w:b/>
                <w:szCs w:val="21"/>
              </w:rPr>
            </w:pPr>
          </w:p>
          <w:p>
            <w:pPr>
              <w:spacing w:line="480" w:lineRule="exact"/>
              <w:jc w:val="center"/>
              <w:rPr>
                <w:rFonts w:hint="eastAsia"/>
                <w:b/>
                <w:szCs w:val="21"/>
              </w:rPr>
            </w:pPr>
          </w:p>
          <w:p>
            <w:pPr>
              <w:spacing w:line="480" w:lineRule="exact"/>
              <w:jc w:val="center"/>
              <w:rPr>
                <w:rFonts w:hint="eastAsia"/>
                <w:b/>
                <w:szCs w:val="21"/>
              </w:rPr>
            </w:pPr>
          </w:p>
          <w:p>
            <w:pPr>
              <w:spacing w:line="480" w:lineRule="exact"/>
              <w:jc w:val="center"/>
              <w:rPr>
                <w:b/>
                <w:szCs w:val="21"/>
              </w:rPr>
            </w:pPr>
            <w:r>
              <w:rPr>
                <w:b/>
                <w:szCs w:val="21"/>
              </w:rPr>
              <w:t>表1</w:t>
            </w:r>
            <w:r>
              <w:rPr>
                <w:rFonts w:hint="eastAsia"/>
                <w:b/>
                <w:szCs w:val="21"/>
              </w:rPr>
              <w:t>4</w:t>
            </w:r>
            <w:r>
              <w:rPr>
                <w:b/>
                <w:szCs w:val="21"/>
              </w:rPr>
              <w:t xml:space="preserve">  本项目竣工环保验收一览表</w:t>
            </w:r>
          </w:p>
          <w:tbl>
            <w:tblPr>
              <w:tblStyle w:val="4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1731"/>
              <w:gridCol w:w="6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256" w:type="dxa"/>
                  <w:gridSpan w:val="2"/>
                  <w:noWrap w:val="0"/>
                  <w:vAlign w:val="center"/>
                </w:tcPr>
                <w:p>
                  <w:pPr>
                    <w:spacing w:line="340" w:lineRule="atLeast"/>
                    <w:jc w:val="center"/>
                    <w:rPr>
                      <w:szCs w:val="21"/>
                    </w:rPr>
                  </w:pPr>
                  <w:r>
                    <w:rPr>
                      <w:szCs w:val="21"/>
                    </w:rPr>
                    <w:t>验收项目</w:t>
                  </w:r>
                </w:p>
              </w:tc>
              <w:tc>
                <w:tcPr>
                  <w:tcW w:w="6020" w:type="dxa"/>
                  <w:noWrap w:val="0"/>
                  <w:vAlign w:val="center"/>
                </w:tcPr>
                <w:p>
                  <w:pPr>
                    <w:spacing w:line="340" w:lineRule="atLeast"/>
                    <w:jc w:val="center"/>
                    <w:rPr>
                      <w:szCs w:val="21"/>
                    </w:rPr>
                  </w:pPr>
                  <w:r>
                    <w:rPr>
                      <w:szCs w:val="21"/>
                    </w:rPr>
                    <w:t>内容和要求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25" w:type="dxa"/>
                  <w:vMerge w:val="restart"/>
                  <w:noWrap w:val="0"/>
                  <w:vAlign w:val="center"/>
                </w:tcPr>
                <w:p>
                  <w:pPr>
                    <w:spacing w:line="340" w:lineRule="atLeast"/>
                    <w:jc w:val="center"/>
                    <w:rPr>
                      <w:szCs w:val="21"/>
                    </w:rPr>
                  </w:pPr>
                  <w:r>
                    <w:rPr>
                      <w:szCs w:val="21"/>
                    </w:rPr>
                    <w:t>线路</w:t>
                  </w:r>
                </w:p>
              </w:tc>
              <w:tc>
                <w:tcPr>
                  <w:tcW w:w="1731" w:type="dxa"/>
                  <w:noWrap w:val="0"/>
                  <w:vAlign w:val="center"/>
                </w:tcPr>
                <w:p>
                  <w:pPr>
                    <w:spacing w:line="340" w:lineRule="atLeast"/>
                    <w:jc w:val="center"/>
                    <w:rPr>
                      <w:szCs w:val="21"/>
                    </w:rPr>
                  </w:pPr>
                  <w:r>
                    <w:rPr>
                      <w:szCs w:val="21"/>
                    </w:rPr>
                    <w:t>220kV架线高度</w:t>
                  </w:r>
                </w:p>
              </w:tc>
              <w:tc>
                <w:tcPr>
                  <w:tcW w:w="6020" w:type="dxa"/>
                  <w:noWrap w:val="0"/>
                  <w:vAlign w:val="center"/>
                </w:tcPr>
                <w:p>
                  <w:pPr>
                    <w:spacing w:line="340" w:lineRule="atLeast"/>
                    <w:rPr>
                      <w:szCs w:val="21"/>
                    </w:rPr>
                  </w:pPr>
                  <w:r>
                    <w:rPr>
                      <w:szCs w:val="21"/>
                    </w:rPr>
                    <w:t>导线至非居民区的距离不小于6.5m，导线至公路路面的距离不小于8.0m，导线至树木自然生长高度树顶的距离不小于4.5m。导线至其他电力线路距离不小4.0m。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25" w:type="dxa"/>
                  <w:vMerge w:val="continue"/>
                  <w:noWrap w:val="0"/>
                  <w:vAlign w:val="center"/>
                </w:tcPr>
                <w:p>
                  <w:pPr>
                    <w:spacing w:line="340" w:lineRule="atLeast"/>
                    <w:jc w:val="center"/>
                    <w:rPr>
                      <w:szCs w:val="21"/>
                    </w:rPr>
                  </w:pPr>
                </w:p>
              </w:tc>
              <w:tc>
                <w:tcPr>
                  <w:tcW w:w="1731" w:type="dxa"/>
                  <w:noWrap w:val="0"/>
                  <w:vAlign w:val="center"/>
                </w:tcPr>
                <w:p>
                  <w:pPr>
                    <w:spacing w:line="340" w:lineRule="atLeast"/>
                    <w:jc w:val="center"/>
                    <w:rPr>
                      <w:szCs w:val="21"/>
                    </w:rPr>
                  </w:pPr>
                  <w:r>
                    <w:rPr>
                      <w:szCs w:val="21"/>
                    </w:rPr>
                    <w:t>工频电场、工频磁场</w:t>
                  </w:r>
                </w:p>
              </w:tc>
              <w:tc>
                <w:tcPr>
                  <w:tcW w:w="6020" w:type="dxa"/>
                  <w:noWrap w:val="0"/>
                  <w:vAlign w:val="center"/>
                </w:tcPr>
                <w:p>
                  <w:pPr>
                    <w:spacing w:line="340" w:lineRule="atLeast"/>
                    <w:rPr>
                      <w:szCs w:val="21"/>
                    </w:rPr>
                  </w:pPr>
                  <w:r>
                    <w:rPr>
                      <w:szCs w:val="21"/>
                    </w:rPr>
                    <w:t>工频电场、工频磁场符合《电磁环境控制限值》（GB8702-2014）中4kV/m、100μT的评价标准。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25" w:type="dxa"/>
                  <w:vMerge w:val="continue"/>
                  <w:noWrap w:val="0"/>
                  <w:vAlign w:val="center"/>
                </w:tcPr>
                <w:p>
                  <w:pPr>
                    <w:spacing w:line="340" w:lineRule="atLeast"/>
                    <w:jc w:val="center"/>
                    <w:rPr>
                      <w:szCs w:val="21"/>
                    </w:rPr>
                  </w:pPr>
                </w:p>
              </w:tc>
              <w:tc>
                <w:tcPr>
                  <w:tcW w:w="1731" w:type="dxa"/>
                  <w:noWrap w:val="0"/>
                  <w:vAlign w:val="center"/>
                </w:tcPr>
                <w:p>
                  <w:pPr>
                    <w:spacing w:line="340" w:lineRule="atLeast"/>
                    <w:jc w:val="center"/>
                    <w:rPr>
                      <w:szCs w:val="21"/>
                    </w:rPr>
                  </w:pPr>
                  <w:r>
                    <w:rPr>
                      <w:szCs w:val="21"/>
                    </w:rPr>
                    <w:t>声环境</w:t>
                  </w:r>
                </w:p>
              </w:tc>
              <w:tc>
                <w:tcPr>
                  <w:tcW w:w="6020" w:type="dxa"/>
                  <w:noWrap w:val="0"/>
                  <w:vAlign w:val="center"/>
                </w:tcPr>
                <w:p>
                  <w:pPr>
                    <w:spacing w:line="340" w:lineRule="atLeast"/>
                    <w:rPr>
                      <w:szCs w:val="21"/>
                    </w:rPr>
                  </w:pPr>
                  <w:r>
                    <w:rPr>
                      <w:szCs w:val="21"/>
                    </w:rPr>
                    <w:t>满足《工业企业厂界环境噪声排放标准》（GB12348-2008）</w:t>
                  </w:r>
                  <w:r>
                    <w:rPr>
                      <w:rFonts w:hint="eastAsia"/>
                      <w:szCs w:val="21"/>
                    </w:rPr>
                    <w:t>1</w:t>
                  </w:r>
                  <w:r>
                    <w:rPr>
                      <w:szCs w:val="21"/>
                    </w:rPr>
                    <w:t>类，即昼间</w:t>
                  </w:r>
                  <w:r>
                    <w:rPr>
                      <w:rFonts w:hint="eastAsia"/>
                      <w:szCs w:val="21"/>
                    </w:rPr>
                    <w:t>55</w:t>
                  </w:r>
                  <w:r>
                    <w:rPr>
                      <w:szCs w:val="21"/>
                    </w:rPr>
                    <w:t>dB（A），夜间</w:t>
                  </w:r>
                  <w:r>
                    <w:rPr>
                      <w:rFonts w:hint="eastAsia"/>
                      <w:szCs w:val="21"/>
                    </w:rPr>
                    <w:t>45</w:t>
                  </w:r>
                  <w:r>
                    <w:rPr>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256" w:type="dxa"/>
                  <w:gridSpan w:val="2"/>
                  <w:noWrap w:val="0"/>
                  <w:vAlign w:val="center"/>
                </w:tcPr>
                <w:p>
                  <w:pPr>
                    <w:spacing w:line="340" w:lineRule="atLeast"/>
                    <w:jc w:val="center"/>
                    <w:rPr>
                      <w:szCs w:val="21"/>
                    </w:rPr>
                  </w:pPr>
                  <w:r>
                    <w:rPr>
                      <w:szCs w:val="21"/>
                    </w:rPr>
                    <w:t>临时占地场地恢复</w:t>
                  </w:r>
                </w:p>
              </w:tc>
              <w:tc>
                <w:tcPr>
                  <w:tcW w:w="6020" w:type="dxa"/>
                  <w:noWrap w:val="0"/>
                  <w:vAlign w:val="center"/>
                </w:tcPr>
                <w:p>
                  <w:pPr>
                    <w:spacing w:line="340" w:lineRule="atLeast"/>
                    <w:jc w:val="center"/>
                    <w:rPr>
                      <w:szCs w:val="21"/>
                    </w:rPr>
                  </w:pPr>
                  <w:r>
                    <w:rPr>
                      <w:szCs w:val="21"/>
                    </w:rPr>
                    <w:t>恢复原有生态功能</w:t>
                  </w:r>
                </w:p>
              </w:tc>
            </w:tr>
          </w:tbl>
          <w:p>
            <w:pPr>
              <w:snapToGrid w:val="0"/>
              <w:spacing w:line="200" w:lineRule="exact"/>
              <w:rPr>
                <w:rFonts w:eastAsia="黑体"/>
                <w:bCs/>
                <w:sz w:val="28"/>
                <w:szCs w:val="28"/>
              </w:rPr>
            </w:pPr>
          </w:p>
        </w:tc>
      </w:tr>
    </w:tbl>
    <w:p>
      <w:pPr>
        <w:pStyle w:val="2"/>
        <w:rPr>
          <w:rFonts w:ascii="Times New Roman"/>
        </w:rPr>
      </w:pPr>
      <w:r>
        <w:rPr>
          <w:rFonts w:ascii="Times New Roman"/>
        </w:rPr>
        <w:t>建设项目拟采取的防治措施及预期治理效果</w:t>
      </w:r>
    </w:p>
    <w:tbl>
      <w:tblPr>
        <w:tblStyle w:val="43"/>
        <w:tblW w:w="8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64"/>
        <w:gridCol w:w="425"/>
        <w:gridCol w:w="1289"/>
        <w:gridCol w:w="1276"/>
        <w:gridCol w:w="3695"/>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6" w:hRule="atLeast"/>
          <w:jc w:val="center"/>
        </w:trPr>
        <w:tc>
          <w:tcPr>
            <w:tcW w:w="864" w:type="dxa"/>
            <w:tcBorders>
              <w:tl2br w:val="single" w:color="auto" w:sz="4" w:space="0"/>
            </w:tcBorders>
            <w:noWrap w:val="0"/>
            <w:vAlign w:val="top"/>
          </w:tcPr>
          <w:p>
            <w:pPr>
              <w:spacing w:line="360" w:lineRule="auto"/>
              <w:ind w:left="480" w:hanging="480" w:hangingChars="200"/>
              <w:rPr>
                <w:sz w:val="24"/>
              </w:rPr>
            </w:pPr>
            <w:r>
              <w:rPr>
                <w:sz w:val="24"/>
              </w:rPr>
              <w:t xml:space="preserve">   内容</w:t>
            </w:r>
          </w:p>
          <w:p>
            <w:pPr>
              <w:spacing w:line="360" w:lineRule="auto"/>
              <w:rPr>
                <w:sz w:val="24"/>
              </w:rPr>
            </w:pPr>
            <w:r>
              <w:rPr>
                <w:sz w:val="24"/>
              </w:rPr>
              <w:t>类型</w:t>
            </w:r>
          </w:p>
        </w:tc>
        <w:tc>
          <w:tcPr>
            <w:tcW w:w="1714" w:type="dxa"/>
            <w:gridSpan w:val="2"/>
            <w:noWrap w:val="0"/>
            <w:vAlign w:val="center"/>
          </w:tcPr>
          <w:p>
            <w:pPr>
              <w:spacing w:line="360" w:lineRule="auto"/>
              <w:jc w:val="center"/>
              <w:rPr>
                <w:sz w:val="24"/>
              </w:rPr>
            </w:pPr>
            <w:r>
              <w:rPr>
                <w:sz w:val="24"/>
              </w:rPr>
              <w:t>排放源</w:t>
            </w:r>
          </w:p>
          <w:p>
            <w:pPr>
              <w:spacing w:line="360" w:lineRule="auto"/>
              <w:jc w:val="center"/>
              <w:rPr>
                <w:sz w:val="24"/>
              </w:rPr>
            </w:pPr>
            <w:r>
              <w:rPr>
                <w:sz w:val="24"/>
              </w:rPr>
              <w:t>(编号)</w:t>
            </w:r>
          </w:p>
        </w:tc>
        <w:tc>
          <w:tcPr>
            <w:tcW w:w="1276" w:type="dxa"/>
            <w:noWrap w:val="0"/>
            <w:vAlign w:val="center"/>
          </w:tcPr>
          <w:p>
            <w:pPr>
              <w:spacing w:line="360" w:lineRule="auto"/>
              <w:jc w:val="center"/>
              <w:rPr>
                <w:sz w:val="24"/>
              </w:rPr>
            </w:pPr>
            <w:r>
              <w:rPr>
                <w:sz w:val="24"/>
              </w:rPr>
              <w:t>污染物</w:t>
            </w:r>
          </w:p>
          <w:p>
            <w:pPr>
              <w:spacing w:line="360" w:lineRule="auto"/>
              <w:jc w:val="center"/>
              <w:rPr>
                <w:sz w:val="24"/>
              </w:rPr>
            </w:pPr>
            <w:r>
              <w:rPr>
                <w:sz w:val="24"/>
              </w:rPr>
              <w:t>名称</w:t>
            </w:r>
          </w:p>
        </w:tc>
        <w:tc>
          <w:tcPr>
            <w:tcW w:w="3695" w:type="dxa"/>
            <w:noWrap w:val="0"/>
            <w:vAlign w:val="center"/>
          </w:tcPr>
          <w:p>
            <w:pPr>
              <w:spacing w:line="360" w:lineRule="auto"/>
              <w:jc w:val="center"/>
              <w:rPr>
                <w:sz w:val="24"/>
              </w:rPr>
            </w:pPr>
            <w:r>
              <w:rPr>
                <w:sz w:val="24"/>
              </w:rPr>
              <w:t>防治措施</w:t>
            </w:r>
          </w:p>
        </w:tc>
        <w:tc>
          <w:tcPr>
            <w:tcW w:w="1113" w:type="dxa"/>
            <w:noWrap w:val="0"/>
            <w:vAlign w:val="center"/>
          </w:tcPr>
          <w:p>
            <w:pPr>
              <w:spacing w:line="360" w:lineRule="auto"/>
              <w:jc w:val="center"/>
              <w:rPr>
                <w:sz w:val="24"/>
              </w:rPr>
            </w:pPr>
            <w:r>
              <w:rPr>
                <w:sz w:val="24"/>
              </w:rPr>
              <w:t>防治效果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0" w:hRule="atLeast"/>
          <w:jc w:val="center"/>
        </w:trPr>
        <w:tc>
          <w:tcPr>
            <w:tcW w:w="864" w:type="dxa"/>
            <w:noWrap w:val="0"/>
            <w:vAlign w:val="center"/>
          </w:tcPr>
          <w:p>
            <w:pPr>
              <w:spacing w:line="360" w:lineRule="auto"/>
              <w:jc w:val="center"/>
              <w:rPr>
                <w:sz w:val="24"/>
              </w:rPr>
            </w:pPr>
            <w:r>
              <w:rPr>
                <w:sz w:val="24"/>
              </w:rPr>
              <w:t>大</w:t>
            </w:r>
          </w:p>
          <w:p>
            <w:pPr>
              <w:spacing w:line="360" w:lineRule="auto"/>
              <w:jc w:val="center"/>
              <w:rPr>
                <w:sz w:val="24"/>
              </w:rPr>
            </w:pPr>
            <w:r>
              <w:rPr>
                <w:sz w:val="24"/>
              </w:rPr>
              <w:t>气</w:t>
            </w:r>
          </w:p>
          <w:p>
            <w:pPr>
              <w:spacing w:line="360" w:lineRule="auto"/>
              <w:jc w:val="center"/>
              <w:rPr>
                <w:sz w:val="24"/>
              </w:rPr>
            </w:pPr>
            <w:r>
              <w:rPr>
                <w:sz w:val="24"/>
              </w:rPr>
              <w:t>污</w:t>
            </w:r>
          </w:p>
          <w:p>
            <w:pPr>
              <w:spacing w:line="360" w:lineRule="auto"/>
              <w:jc w:val="center"/>
              <w:rPr>
                <w:sz w:val="24"/>
              </w:rPr>
            </w:pPr>
            <w:r>
              <w:rPr>
                <w:sz w:val="24"/>
              </w:rPr>
              <w:t>染</w:t>
            </w:r>
          </w:p>
          <w:p>
            <w:pPr>
              <w:spacing w:line="360" w:lineRule="auto"/>
              <w:jc w:val="center"/>
              <w:rPr>
                <w:sz w:val="24"/>
              </w:rPr>
            </w:pPr>
            <w:r>
              <w:rPr>
                <w:sz w:val="24"/>
              </w:rPr>
              <w:t>物</w:t>
            </w:r>
          </w:p>
        </w:tc>
        <w:tc>
          <w:tcPr>
            <w:tcW w:w="425" w:type="dxa"/>
            <w:tcBorders>
              <w:bottom w:val="single" w:color="auto" w:sz="4" w:space="0"/>
              <w:right w:val="single" w:color="auto" w:sz="4" w:space="0"/>
            </w:tcBorders>
            <w:noWrap w:val="0"/>
            <w:vAlign w:val="center"/>
          </w:tcPr>
          <w:p>
            <w:pPr>
              <w:spacing w:line="360" w:lineRule="auto"/>
              <w:jc w:val="center"/>
              <w:rPr>
                <w:sz w:val="24"/>
              </w:rPr>
            </w:pPr>
            <w:r>
              <w:rPr>
                <w:sz w:val="24"/>
              </w:rPr>
              <w:t>施</w:t>
            </w:r>
          </w:p>
          <w:p>
            <w:pPr>
              <w:spacing w:line="360" w:lineRule="auto"/>
              <w:jc w:val="center"/>
              <w:rPr>
                <w:sz w:val="24"/>
              </w:rPr>
            </w:pPr>
            <w:r>
              <w:rPr>
                <w:sz w:val="24"/>
              </w:rPr>
              <w:t>工</w:t>
            </w:r>
          </w:p>
          <w:p>
            <w:pPr>
              <w:spacing w:line="360" w:lineRule="auto"/>
              <w:rPr>
                <w:sz w:val="24"/>
              </w:rPr>
            </w:pPr>
            <w:r>
              <w:rPr>
                <w:sz w:val="24"/>
              </w:rPr>
              <w:t>期</w:t>
            </w:r>
          </w:p>
        </w:tc>
        <w:tc>
          <w:tcPr>
            <w:tcW w:w="1289" w:type="dxa"/>
            <w:tcBorders>
              <w:left w:val="single" w:color="auto" w:sz="4" w:space="0"/>
            </w:tcBorders>
            <w:noWrap w:val="0"/>
            <w:vAlign w:val="center"/>
          </w:tcPr>
          <w:p>
            <w:pPr>
              <w:spacing w:line="360" w:lineRule="auto"/>
              <w:jc w:val="center"/>
              <w:rPr>
                <w:sz w:val="24"/>
              </w:rPr>
            </w:pPr>
            <w:r>
              <w:rPr>
                <w:sz w:val="24"/>
              </w:rPr>
              <w:t>地面扬尘</w:t>
            </w:r>
          </w:p>
        </w:tc>
        <w:tc>
          <w:tcPr>
            <w:tcW w:w="1276" w:type="dxa"/>
            <w:noWrap w:val="0"/>
            <w:vAlign w:val="center"/>
          </w:tcPr>
          <w:p>
            <w:pPr>
              <w:spacing w:line="360" w:lineRule="auto"/>
              <w:jc w:val="center"/>
              <w:rPr>
                <w:sz w:val="24"/>
                <w:lang w:val="es-ES"/>
              </w:rPr>
            </w:pPr>
            <w:r>
              <w:rPr>
                <w:sz w:val="24"/>
                <w:lang w:val="es-ES"/>
              </w:rPr>
              <w:t>TSP</w:t>
            </w:r>
          </w:p>
        </w:tc>
        <w:tc>
          <w:tcPr>
            <w:tcW w:w="3695" w:type="dxa"/>
            <w:noWrap w:val="0"/>
            <w:vAlign w:val="center"/>
          </w:tcPr>
          <w:p>
            <w:pPr>
              <w:spacing w:line="360" w:lineRule="auto"/>
              <w:ind w:right="21" w:rightChars="10"/>
              <w:rPr>
                <w:sz w:val="24"/>
              </w:rPr>
            </w:pPr>
            <w:r>
              <w:rPr>
                <w:sz w:val="24"/>
              </w:rPr>
              <w:t>1）加强保养使机械、设备状态良好；</w:t>
            </w:r>
          </w:p>
          <w:p>
            <w:pPr>
              <w:spacing w:line="360" w:lineRule="auto"/>
              <w:ind w:right="21" w:rightChars="10"/>
              <w:rPr>
                <w:sz w:val="24"/>
              </w:rPr>
            </w:pPr>
            <w:r>
              <w:rPr>
                <w:sz w:val="24"/>
              </w:rPr>
              <w:t>2）在施工区及运输路段洒水防尘；</w:t>
            </w:r>
          </w:p>
          <w:p>
            <w:pPr>
              <w:spacing w:line="360" w:lineRule="auto"/>
              <w:ind w:right="21" w:rightChars="10"/>
              <w:rPr>
                <w:sz w:val="24"/>
              </w:rPr>
            </w:pPr>
            <w:r>
              <w:rPr>
                <w:sz w:val="24"/>
              </w:rPr>
              <w:t>3）汽车运输的粉状材料和弃土表面应加盖</w:t>
            </w:r>
            <w:r>
              <w:rPr>
                <w:rFonts w:hint="eastAsia"/>
                <w:sz w:val="24"/>
                <w:lang w:val="en-US" w:eastAsia="zh-CN"/>
              </w:rPr>
              <w:t>篷</w:t>
            </w:r>
            <w:r>
              <w:rPr>
                <w:sz w:val="24"/>
              </w:rPr>
              <w:t>布保护，防止掉落；</w:t>
            </w:r>
          </w:p>
          <w:p>
            <w:pPr>
              <w:spacing w:line="360" w:lineRule="auto"/>
              <w:ind w:right="21" w:rightChars="10"/>
              <w:rPr>
                <w:sz w:val="24"/>
              </w:rPr>
            </w:pPr>
            <w:r>
              <w:rPr>
                <w:sz w:val="24"/>
              </w:rPr>
              <w:t>4）对施工区进行围挡。</w:t>
            </w:r>
          </w:p>
        </w:tc>
        <w:tc>
          <w:tcPr>
            <w:tcW w:w="1113" w:type="dxa"/>
            <w:noWrap w:val="0"/>
            <w:vAlign w:val="center"/>
          </w:tcPr>
          <w:p>
            <w:pPr>
              <w:spacing w:line="360" w:lineRule="auto"/>
              <w:rPr>
                <w:sz w:val="24"/>
              </w:rPr>
            </w:pPr>
            <w:r>
              <w:rPr>
                <w:sz w:val="24"/>
              </w:rPr>
              <w:t>有效抑制扬尘产生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47" w:hRule="atLeast"/>
          <w:jc w:val="center"/>
        </w:trPr>
        <w:tc>
          <w:tcPr>
            <w:tcW w:w="864" w:type="dxa"/>
            <w:vMerge w:val="restart"/>
            <w:noWrap w:val="0"/>
            <w:vAlign w:val="center"/>
          </w:tcPr>
          <w:p>
            <w:pPr>
              <w:spacing w:line="360" w:lineRule="auto"/>
              <w:jc w:val="center"/>
              <w:rPr>
                <w:sz w:val="24"/>
              </w:rPr>
            </w:pPr>
            <w:r>
              <w:rPr>
                <w:sz w:val="24"/>
              </w:rPr>
              <w:t>水</w:t>
            </w:r>
          </w:p>
          <w:p>
            <w:pPr>
              <w:spacing w:line="360" w:lineRule="auto"/>
              <w:jc w:val="center"/>
              <w:rPr>
                <w:sz w:val="24"/>
              </w:rPr>
            </w:pPr>
            <w:r>
              <w:rPr>
                <w:sz w:val="24"/>
              </w:rPr>
              <w:t>污</w:t>
            </w:r>
          </w:p>
          <w:p>
            <w:pPr>
              <w:spacing w:line="360" w:lineRule="auto"/>
              <w:jc w:val="center"/>
              <w:rPr>
                <w:sz w:val="24"/>
              </w:rPr>
            </w:pPr>
            <w:r>
              <w:rPr>
                <w:sz w:val="24"/>
              </w:rPr>
              <w:t>染</w:t>
            </w:r>
          </w:p>
          <w:p>
            <w:pPr>
              <w:spacing w:line="360" w:lineRule="auto"/>
              <w:jc w:val="center"/>
              <w:rPr>
                <w:sz w:val="24"/>
              </w:rPr>
            </w:pPr>
            <w:r>
              <w:rPr>
                <w:sz w:val="24"/>
              </w:rPr>
              <w:t>物</w:t>
            </w:r>
          </w:p>
        </w:tc>
        <w:tc>
          <w:tcPr>
            <w:tcW w:w="425" w:type="dxa"/>
            <w:tcBorders>
              <w:right w:val="single" w:color="auto" w:sz="4" w:space="0"/>
            </w:tcBorders>
            <w:noWrap w:val="0"/>
            <w:vAlign w:val="center"/>
          </w:tcPr>
          <w:p>
            <w:pPr>
              <w:spacing w:line="360" w:lineRule="auto"/>
              <w:jc w:val="center"/>
              <w:rPr>
                <w:sz w:val="24"/>
              </w:rPr>
            </w:pPr>
            <w:r>
              <w:rPr>
                <w:sz w:val="24"/>
              </w:rPr>
              <w:t>施</w:t>
            </w:r>
          </w:p>
          <w:p>
            <w:pPr>
              <w:spacing w:line="360" w:lineRule="auto"/>
              <w:jc w:val="center"/>
              <w:rPr>
                <w:sz w:val="24"/>
              </w:rPr>
            </w:pPr>
            <w:r>
              <w:rPr>
                <w:sz w:val="24"/>
              </w:rPr>
              <w:t>工</w:t>
            </w:r>
          </w:p>
          <w:p>
            <w:pPr>
              <w:spacing w:line="360" w:lineRule="auto"/>
              <w:jc w:val="center"/>
              <w:rPr>
                <w:sz w:val="24"/>
              </w:rPr>
            </w:pPr>
            <w:r>
              <w:rPr>
                <w:sz w:val="24"/>
              </w:rPr>
              <w:t>期</w:t>
            </w:r>
          </w:p>
        </w:tc>
        <w:tc>
          <w:tcPr>
            <w:tcW w:w="1289" w:type="dxa"/>
            <w:tcBorders>
              <w:left w:val="single" w:color="auto" w:sz="4" w:space="0"/>
              <w:bottom w:val="single" w:color="auto" w:sz="4" w:space="0"/>
            </w:tcBorders>
            <w:noWrap w:val="0"/>
            <w:vAlign w:val="center"/>
          </w:tcPr>
          <w:p>
            <w:pPr>
              <w:spacing w:line="360" w:lineRule="auto"/>
              <w:jc w:val="center"/>
              <w:rPr>
                <w:sz w:val="24"/>
              </w:rPr>
            </w:pPr>
            <w:r>
              <w:rPr>
                <w:sz w:val="24"/>
              </w:rPr>
              <w:t>施工人员</w:t>
            </w:r>
          </w:p>
          <w:p>
            <w:pPr>
              <w:spacing w:line="360" w:lineRule="auto"/>
              <w:jc w:val="center"/>
              <w:rPr>
                <w:sz w:val="24"/>
              </w:rPr>
            </w:pPr>
            <w:r>
              <w:rPr>
                <w:sz w:val="24"/>
              </w:rPr>
              <w:t>生活污水</w:t>
            </w:r>
          </w:p>
        </w:tc>
        <w:tc>
          <w:tcPr>
            <w:tcW w:w="1276" w:type="dxa"/>
            <w:tcBorders>
              <w:bottom w:val="single" w:color="auto" w:sz="4" w:space="0"/>
            </w:tcBorders>
            <w:noWrap w:val="0"/>
            <w:vAlign w:val="center"/>
          </w:tcPr>
          <w:p>
            <w:pPr>
              <w:spacing w:line="360" w:lineRule="auto"/>
              <w:jc w:val="center"/>
              <w:rPr>
                <w:sz w:val="24"/>
              </w:rPr>
            </w:pPr>
            <w:r>
              <w:rPr>
                <w:sz w:val="24"/>
              </w:rPr>
              <w:t>SS</w:t>
            </w:r>
          </w:p>
          <w:p>
            <w:pPr>
              <w:spacing w:line="360" w:lineRule="auto"/>
              <w:jc w:val="center"/>
              <w:rPr>
                <w:sz w:val="24"/>
              </w:rPr>
            </w:pPr>
            <w:r>
              <w:rPr>
                <w:sz w:val="24"/>
              </w:rPr>
              <w:t>NH</w:t>
            </w:r>
            <w:r>
              <w:rPr>
                <w:sz w:val="24"/>
                <w:vertAlign w:val="subscript"/>
              </w:rPr>
              <w:t>3</w:t>
            </w:r>
            <w:r>
              <w:rPr>
                <w:sz w:val="24"/>
              </w:rPr>
              <w:t>-N</w:t>
            </w:r>
          </w:p>
          <w:p>
            <w:pPr>
              <w:spacing w:line="360" w:lineRule="auto"/>
              <w:jc w:val="center"/>
              <w:rPr>
                <w:sz w:val="24"/>
              </w:rPr>
            </w:pPr>
            <w:r>
              <w:rPr>
                <w:sz w:val="24"/>
              </w:rPr>
              <w:t>COD</w:t>
            </w:r>
          </w:p>
        </w:tc>
        <w:tc>
          <w:tcPr>
            <w:tcW w:w="3695" w:type="dxa"/>
            <w:tcBorders>
              <w:bottom w:val="single" w:color="auto" w:sz="4" w:space="0"/>
            </w:tcBorders>
            <w:noWrap w:val="0"/>
            <w:vAlign w:val="center"/>
          </w:tcPr>
          <w:p>
            <w:pPr>
              <w:spacing w:line="360" w:lineRule="auto"/>
              <w:ind w:firstLine="480" w:firstLineChars="200"/>
              <w:rPr>
                <w:sz w:val="24"/>
              </w:rPr>
            </w:pPr>
            <w:r>
              <w:rPr>
                <w:kern w:val="0"/>
                <w:sz w:val="24"/>
              </w:rPr>
              <w:t>利用周围民房既有的卫生设施收集后用作农肥</w:t>
            </w:r>
          </w:p>
        </w:tc>
        <w:tc>
          <w:tcPr>
            <w:tcW w:w="1113" w:type="dxa"/>
            <w:noWrap w:val="0"/>
            <w:vAlign w:val="center"/>
          </w:tcPr>
          <w:p>
            <w:pPr>
              <w:pStyle w:val="23"/>
              <w:adjustRightInd w:val="0"/>
              <w:spacing w:line="360" w:lineRule="auto"/>
              <w:textAlignment w:val="baseline"/>
              <w:rPr>
                <w:kern w:val="0"/>
              </w:rPr>
            </w:pPr>
            <w:r>
              <w:rPr>
                <w:kern w:val="0"/>
              </w:rPr>
              <w:t>对项目周围水环境产生的影响很小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0" w:hRule="atLeast"/>
          <w:jc w:val="center"/>
        </w:trPr>
        <w:tc>
          <w:tcPr>
            <w:tcW w:w="864" w:type="dxa"/>
            <w:vMerge w:val="continue"/>
            <w:noWrap w:val="0"/>
            <w:vAlign w:val="top"/>
          </w:tcPr>
          <w:p>
            <w:pPr>
              <w:spacing w:line="360" w:lineRule="auto"/>
              <w:jc w:val="center"/>
              <w:rPr>
                <w:sz w:val="24"/>
              </w:rPr>
            </w:pPr>
          </w:p>
        </w:tc>
        <w:tc>
          <w:tcPr>
            <w:tcW w:w="425" w:type="dxa"/>
            <w:tcBorders>
              <w:right w:val="single" w:color="auto" w:sz="4" w:space="0"/>
            </w:tcBorders>
            <w:noWrap w:val="0"/>
            <w:vAlign w:val="center"/>
          </w:tcPr>
          <w:p>
            <w:pPr>
              <w:spacing w:line="360" w:lineRule="auto"/>
              <w:jc w:val="center"/>
              <w:rPr>
                <w:sz w:val="24"/>
              </w:rPr>
            </w:pPr>
            <w:r>
              <w:rPr>
                <w:sz w:val="24"/>
              </w:rPr>
              <w:t>营</w:t>
            </w:r>
          </w:p>
          <w:p>
            <w:pPr>
              <w:spacing w:line="360" w:lineRule="auto"/>
              <w:jc w:val="center"/>
              <w:rPr>
                <w:sz w:val="24"/>
              </w:rPr>
            </w:pPr>
            <w:r>
              <w:rPr>
                <w:sz w:val="24"/>
              </w:rPr>
              <w:t>运</w:t>
            </w:r>
          </w:p>
          <w:p>
            <w:pPr>
              <w:spacing w:line="360" w:lineRule="auto"/>
              <w:rPr>
                <w:sz w:val="24"/>
              </w:rPr>
            </w:pPr>
            <w:r>
              <w:rPr>
                <w:sz w:val="24"/>
              </w:rPr>
              <w:t>期</w:t>
            </w:r>
          </w:p>
        </w:tc>
        <w:tc>
          <w:tcPr>
            <w:tcW w:w="1289" w:type="dxa"/>
            <w:tcBorders>
              <w:left w:val="single" w:color="auto" w:sz="4" w:space="0"/>
              <w:bottom w:val="single" w:color="auto" w:sz="4" w:space="0"/>
            </w:tcBorders>
            <w:noWrap w:val="0"/>
            <w:vAlign w:val="center"/>
          </w:tcPr>
          <w:p>
            <w:pPr>
              <w:spacing w:line="360" w:lineRule="auto"/>
              <w:jc w:val="center"/>
              <w:rPr>
                <w:sz w:val="24"/>
              </w:rPr>
            </w:pPr>
            <w:r>
              <w:rPr>
                <w:sz w:val="24"/>
              </w:rPr>
              <w:t>/</w:t>
            </w:r>
          </w:p>
        </w:tc>
        <w:tc>
          <w:tcPr>
            <w:tcW w:w="1276" w:type="dxa"/>
            <w:tcBorders>
              <w:bottom w:val="single" w:color="auto" w:sz="4" w:space="0"/>
            </w:tcBorders>
            <w:noWrap w:val="0"/>
            <w:vAlign w:val="center"/>
          </w:tcPr>
          <w:p>
            <w:pPr>
              <w:spacing w:line="360" w:lineRule="auto"/>
              <w:jc w:val="center"/>
              <w:rPr>
                <w:sz w:val="24"/>
              </w:rPr>
            </w:pPr>
            <w:r>
              <w:rPr>
                <w:sz w:val="24"/>
              </w:rPr>
              <w:t>/</w:t>
            </w:r>
          </w:p>
        </w:tc>
        <w:tc>
          <w:tcPr>
            <w:tcW w:w="3695" w:type="dxa"/>
            <w:tcBorders>
              <w:bottom w:val="single" w:color="auto" w:sz="4" w:space="0"/>
            </w:tcBorders>
            <w:noWrap w:val="0"/>
            <w:vAlign w:val="center"/>
          </w:tcPr>
          <w:p>
            <w:pPr>
              <w:spacing w:line="360" w:lineRule="auto"/>
              <w:jc w:val="center"/>
              <w:rPr>
                <w:sz w:val="24"/>
              </w:rPr>
            </w:pPr>
            <w:r>
              <w:rPr>
                <w:sz w:val="24"/>
              </w:rPr>
              <w:t>/</w:t>
            </w:r>
          </w:p>
        </w:tc>
        <w:tc>
          <w:tcPr>
            <w:tcW w:w="1113" w:type="dxa"/>
            <w:noWrap w:val="0"/>
            <w:vAlign w:val="center"/>
          </w:tcPr>
          <w:p>
            <w:pPr>
              <w:spacing w:line="360" w:lineRule="auto"/>
              <w:ind w:firstLine="480" w:firstLineChars="200"/>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8" w:hRule="atLeast"/>
          <w:jc w:val="center"/>
        </w:trPr>
        <w:tc>
          <w:tcPr>
            <w:tcW w:w="864" w:type="dxa"/>
            <w:vMerge w:val="restart"/>
            <w:noWrap w:val="0"/>
            <w:vAlign w:val="center"/>
          </w:tcPr>
          <w:p>
            <w:pPr>
              <w:spacing w:line="360" w:lineRule="auto"/>
              <w:jc w:val="center"/>
              <w:rPr>
                <w:sz w:val="24"/>
              </w:rPr>
            </w:pPr>
            <w:r>
              <w:rPr>
                <w:sz w:val="24"/>
              </w:rPr>
              <w:t>固</w:t>
            </w:r>
          </w:p>
          <w:p>
            <w:pPr>
              <w:spacing w:line="360" w:lineRule="auto"/>
              <w:jc w:val="center"/>
              <w:rPr>
                <w:sz w:val="24"/>
              </w:rPr>
            </w:pPr>
            <w:r>
              <w:rPr>
                <w:sz w:val="24"/>
              </w:rPr>
              <w:t>体</w:t>
            </w:r>
          </w:p>
          <w:p>
            <w:pPr>
              <w:spacing w:line="360" w:lineRule="auto"/>
              <w:jc w:val="center"/>
              <w:rPr>
                <w:sz w:val="24"/>
              </w:rPr>
            </w:pPr>
            <w:r>
              <w:rPr>
                <w:sz w:val="24"/>
              </w:rPr>
              <w:t>废</w:t>
            </w:r>
          </w:p>
          <w:p>
            <w:pPr>
              <w:spacing w:line="360" w:lineRule="auto"/>
              <w:jc w:val="center"/>
              <w:rPr>
                <w:sz w:val="24"/>
              </w:rPr>
            </w:pPr>
            <w:r>
              <w:rPr>
                <w:sz w:val="24"/>
              </w:rPr>
              <w:t>物</w:t>
            </w:r>
          </w:p>
        </w:tc>
        <w:tc>
          <w:tcPr>
            <w:tcW w:w="425" w:type="dxa"/>
            <w:tcBorders>
              <w:bottom w:val="single" w:color="auto" w:sz="4" w:space="0"/>
              <w:right w:val="single" w:color="auto" w:sz="4" w:space="0"/>
            </w:tcBorders>
            <w:noWrap w:val="0"/>
            <w:vAlign w:val="center"/>
          </w:tcPr>
          <w:p>
            <w:pPr>
              <w:spacing w:line="360" w:lineRule="auto"/>
              <w:jc w:val="center"/>
              <w:rPr>
                <w:sz w:val="24"/>
              </w:rPr>
            </w:pPr>
            <w:r>
              <w:rPr>
                <w:sz w:val="24"/>
              </w:rPr>
              <w:t>施</w:t>
            </w:r>
          </w:p>
          <w:p>
            <w:pPr>
              <w:spacing w:line="360" w:lineRule="auto"/>
              <w:jc w:val="center"/>
              <w:rPr>
                <w:sz w:val="24"/>
              </w:rPr>
            </w:pPr>
            <w:r>
              <w:rPr>
                <w:sz w:val="24"/>
              </w:rPr>
              <w:t>工</w:t>
            </w:r>
          </w:p>
          <w:p>
            <w:pPr>
              <w:pStyle w:val="38"/>
              <w:spacing w:line="360" w:lineRule="auto"/>
              <w:jc w:val="both"/>
              <w:rPr>
                <w:sz w:val="24"/>
                <w:szCs w:val="24"/>
              </w:rPr>
            </w:pPr>
            <w:r>
              <w:rPr>
                <w:sz w:val="24"/>
                <w:szCs w:val="24"/>
              </w:rPr>
              <w:t>期</w:t>
            </w:r>
          </w:p>
        </w:tc>
        <w:tc>
          <w:tcPr>
            <w:tcW w:w="1289" w:type="dxa"/>
            <w:tcBorders>
              <w:left w:val="single" w:color="auto" w:sz="4" w:space="0"/>
              <w:bottom w:val="single" w:color="auto" w:sz="4" w:space="0"/>
            </w:tcBorders>
            <w:noWrap w:val="0"/>
            <w:vAlign w:val="center"/>
          </w:tcPr>
          <w:p>
            <w:pPr>
              <w:pStyle w:val="38"/>
              <w:spacing w:line="360" w:lineRule="auto"/>
              <w:jc w:val="both"/>
              <w:rPr>
                <w:sz w:val="24"/>
                <w:szCs w:val="24"/>
              </w:rPr>
            </w:pPr>
            <w:r>
              <w:rPr>
                <w:sz w:val="24"/>
                <w:szCs w:val="24"/>
              </w:rPr>
              <w:t>建筑垃圾、施工人员生活垃圾</w:t>
            </w:r>
          </w:p>
        </w:tc>
        <w:tc>
          <w:tcPr>
            <w:tcW w:w="1276" w:type="dxa"/>
            <w:tcBorders>
              <w:bottom w:val="single" w:color="auto" w:sz="4" w:space="0"/>
            </w:tcBorders>
            <w:noWrap w:val="0"/>
            <w:vAlign w:val="center"/>
          </w:tcPr>
          <w:p>
            <w:pPr>
              <w:spacing w:line="360" w:lineRule="auto"/>
              <w:rPr>
                <w:sz w:val="24"/>
              </w:rPr>
            </w:pPr>
            <w:r>
              <w:rPr>
                <w:sz w:val="24"/>
              </w:rPr>
              <w:t>砖头、弃土、废建材、果皮、饭盒等</w:t>
            </w:r>
          </w:p>
        </w:tc>
        <w:tc>
          <w:tcPr>
            <w:tcW w:w="3695" w:type="dxa"/>
            <w:tcBorders>
              <w:bottom w:val="single" w:color="auto" w:sz="4" w:space="0"/>
            </w:tcBorders>
            <w:noWrap w:val="0"/>
            <w:vAlign w:val="center"/>
          </w:tcPr>
          <w:p>
            <w:pPr>
              <w:pStyle w:val="109"/>
              <w:ind w:firstLine="480"/>
              <w:rPr>
                <w:rFonts w:ascii="Times New Roman" w:hAnsi="Times New Roman" w:cs="Times New Roman"/>
              </w:rPr>
            </w:pPr>
          </w:p>
          <w:p>
            <w:pPr>
              <w:pStyle w:val="109"/>
              <w:ind w:firstLine="480"/>
              <w:rPr>
                <w:rFonts w:ascii="Times New Roman" w:hAnsi="Times New Roman" w:cs="Times New Roman"/>
              </w:rPr>
            </w:pPr>
            <w:r>
              <w:rPr>
                <w:rFonts w:ascii="Times New Roman" w:hAnsi="Times New Roman" w:cs="Times New Roman"/>
              </w:rPr>
              <w:t>建筑垃圾要求集中堆放后，及时运至指定场建筑垃圾填埋场处理。</w:t>
            </w:r>
          </w:p>
          <w:p>
            <w:pPr>
              <w:pStyle w:val="109"/>
              <w:ind w:firstLine="480"/>
              <w:rPr>
                <w:rFonts w:ascii="Times New Roman" w:hAnsi="Times New Roman" w:cs="Times New Roman"/>
              </w:rPr>
            </w:pPr>
            <w:r>
              <w:rPr>
                <w:rFonts w:ascii="Times New Roman" w:hAnsi="Times New Roman" w:cs="Times New Roman"/>
              </w:rPr>
              <w:t>施工人员的生活垃圾集中堆放，与当地居民的生活垃圾一起处理。</w:t>
            </w:r>
          </w:p>
          <w:p>
            <w:pPr>
              <w:pStyle w:val="109"/>
              <w:ind w:firstLine="480"/>
              <w:rPr>
                <w:rFonts w:ascii="Times New Roman" w:hAnsi="Times New Roman" w:cs="Times New Roman"/>
              </w:rPr>
            </w:pPr>
          </w:p>
        </w:tc>
        <w:tc>
          <w:tcPr>
            <w:tcW w:w="1113" w:type="dxa"/>
            <w:noWrap w:val="0"/>
            <w:vAlign w:val="center"/>
          </w:tcPr>
          <w:p>
            <w:pPr>
              <w:pStyle w:val="114"/>
              <w:widowControl w:val="0"/>
              <w:pBdr>
                <w:left w:val="none" w:color="auto" w:sz="0" w:space="0"/>
                <w:bottom w:val="none" w:color="auto" w:sz="0" w:space="0"/>
                <w:right w:val="none" w:color="auto" w:sz="0" w:space="0"/>
              </w:pBdr>
              <w:spacing w:before="0" w:beforeAutospacing="0" w:after="0" w:afterAutospacing="0" w:line="360" w:lineRule="auto"/>
              <w:jc w:val="both"/>
              <w:textAlignment w:val="auto"/>
              <w:rPr>
                <w:rFonts w:ascii="Times New Roman" w:hAnsi="Times New Roman"/>
                <w:kern w:val="2"/>
                <w:sz w:val="24"/>
                <w:szCs w:val="24"/>
              </w:rPr>
            </w:pPr>
            <w:r>
              <w:rPr>
                <w:rFonts w:ascii="Times New Roman" w:hAnsi="Times New Roman"/>
                <w:kern w:val="2"/>
                <w:sz w:val="24"/>
                <w:szCs w:val="24"/>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4" w:hRule="atLeast"/>
          <w:jc w:val="center"/>
        </w:trPr>
        <w:tc>
          <w:tcPr>
            <w:tcW w:w="864" w:type="dxa"/>
            <w:vMerge w:val="continue"/>
            <w:tcBorders>
              <w:bottom w:val="single" w:color="auto" w:sz="4" w:space="0"/>
            </w:tcBorders>
            <w:noWrap w:val="0"/>
            <w:vAlign w:val="center"/>
          </w:tcPr>
          <w:p>
            <w:pPr>
              <w:spacing w:line="360" w:lineRule="auto"/>
              <w:jc w:val="center"/>
              <w:rPr>
                <w:sz w:val="24"/>
              </w:rPr>
            </w:pPr>
          </w:p>
        </w:tc>
        <w:tc>
          <w:tcPr>
            <w:tcW w:w="425" w:type="dxa"/>
            <w:tcBorders>
              <w:bottom w:val="single" w:color="auto" w:sz="4" w:space="0"/>
              <w:right w:val="single" w:color="auto" w:sz="4" w:space="0"/>
            </w:tcBorders>
            <w:noWrap w:val="0"/>
            <w:vAlign w:val="center"/>
          </w:tcPr>
          <w:p>
            <w:pPr>
              <w:spacing w:line="360" w:lineRule="auto"/>
              <w:jc w:val="center"/>
              <w:rPr>
                <w:sz w:val="24"/>
              </w:rPr>
            </w:pPr>
            <w:r>
              <w:rPr>
                <w:sz w:val="24"/>
              </w:rPr>
              <w:t>营</w:t>
            </w:r>
          </w:p>
          <w:p>
            <w:pPr>
              <w:spacing w:line="360" w:lineRule="auto"/>
              <w:jc w:val="center"/>
              <w:rPr>
                <w:sz w:val="24"/>
              </w:rPr>
            </w:pPr>
            <w:r>
              <w:rPr>
                <w:sz w:val="24"/>
              </w:rPr>
              <w:t>运</w:t>
            </w:r>
          </w:p>
          <w:p>
            <w:pPr>
              <w:spacing w:line="360" w:lineRule="auto"/>
              <w:jc w:val="center"/>
              <w:rPr>
                <w:sz w:val="24"/>
              </w:rPr>
            </w:pPr>
            <w:r>
              <w:rPr>
                <w:sz w:val="24"/>
              </w:rPr>
              <w:t>期</w:t>
            </w:r>
          </w:p>
        </w:tc>
        <w:tc>
          <w:tcPr>
            <w:tcW w:w="1289" w:type="dxa"/>
            <w:tcBorders>
              <w:left w:val="single" w:color="auto" w:sz="4" w:space="0"/>
              <w:bottom w:val="single" w:color="auto" w:sz="4" w:space="0"/>
            </w:tcBorders>
            <w:noWrap w:val="0"/>
            <w:vAlign w:val="center"/>
          </w:tcPr>
          <w:p>
            <w:pPr>
              <w:spacing w:line="360" w:lineRule="auto"/>
              <w:jc w:val="center"/>
              <w:rPr>
                <w:sz w:val="24"/>
              </w:rPr>
            </w:pPr>
            <w:r>
              <w:rPr>
                <w:sz w:val="24"/>
              </w:rPr>
              <w:t>/</w:t>
            </w:r>
          </w:p>
        </w:tc>
        <w:tc>
          <w:tcPr>
            <w:tcW w:w="1276" w:type="dxa"/>
            <w:tcBorders>
              <w:bottom w:val="single" w:color="auto" w:sz="4" w:space="0"/>
            </w:tcBorders>
            <w:noWrap w:val="0"/>
            <w:vAlign w:val="center"/>
          </w:tcPr>
          <w:p>
            <w:pPr>
              <w:spacing w:line="360" w:lineRule="auto"/>
              <w:jc w:val="center"/>
              <w:rPr>
                <w:sz w:val="24"/>
              </w:rPr>
            </w:pPr>
            <w:r>
              <w:rPr>
                <w:sz w:val="24"/>
              </w:rPr>
              <w:t>/</w:t>
            </w:r>
          </w:p>
        </w:tc>
        <w:tc>
          <w:tcPr>
            <w:tcW w:w="3695" w:type="dxa"/>
            <w:tcBorders>
              <w:bottom w:val="single" w:color="auto" w:sz="4" w:space="0"/>
            </w:tcBorders>
            <w:noWrap w:val="0"/>
            <w:vAlign w:val="center"/>
          </w:tcPr>
          <w:p>
            <w:pPr>
              <w:spacing w:line="360" w:lineRule="auto"/>
              <w:ind w:firstLine="480" w:firstLineChars="200"/>
              <w:jc w:val="center"/>
              <w:rPr>
                <w:kern w:val="0"/>
                <w:sz w:val="24"/>
              </w:rPr>
            </w:pPr>
          </w:p>
          <w:p>
            <w:pPr>
              <w:spacing w:line="360" w:lineRule="auto"/>
              <w:ind w:firstLine="480" w:firstLineChars="200"/>
              <w:jc w:val="center"/>
              <w:rPr>
                <w:kern w:val="0"/>
                <w:sz w:val="24"/>
              </w:rPr>
            </w:pPr>
            <w:r>
              <w:rPr>
                <w:kern w:val="0"/>
                <w:sz w:val="24"/>
              </w:rPr>
              <w:t>/</w:t>
            </w:r>
          </w:p>
          <w:p>
            <w:pPr>
              <w:spacing w:line="360" w:lineRule="auto"/>
              <w:ind w:firstLine="480" w:firstLineChars="200"/>
              <w:jc w:val="center"/>
              <w:rPr>
                <w:sz w:val="24"/>
              </w:rPr>
            </w:pPr>
          </w:p>
        </w:tc>
        <w:tc>
          <w:tcPr>
            <w:tcW w:w="1113" w:type="dxa"/>
            <w:tcBorders>
              <w:bottom w:val="single" w:color="auto" w:sz="4" w:space="0"/>
            </w:tcBorders>
            <w:noWrap w:val="0"/>
            <w:vAlign w:val="center"/>
          </w:tcPr>
          <w:p>
            <w:pPr>
              <w:spacing w:line="360" w:lineRule="auto"/>
              <w:jc w:val="center"/>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9" w:hRule="atLeast"/>
          <w:jc w:val="center"/>
        </w:trPr>
        <w:tc>
          <w:tcPr>
            <w:tcW w:w="864" w:type="dxa"/>
            <w:vMerge w:val="restart"/>
            <w:noWrap w:val="0"/>
            <w:vAlign w:val="center"/>
          </w:tcPr>
          <w:p>
            <w:pPr>
              <w:spacing w:line="360" w:lineRule="auto"/>
              <w:jc w:val="center"/>
              <w:rPr>
                <w:sz w:val="24"/>
              </w:rPr>
            </w:pPr>
            <w:r>
              <w:rPr>
                <w:sz w:val="24"/>
              </w:rPr>
              <w:t>噪</w:t>
            </w:r>
          </w:p>
          <w:p>
            <w:pPr>
              <w:spacing w:line="360" w:lineRule="auto"/>
              <w:jc w:val="center"/>
              <w:rPr>
                <w:sz w:val="24"/>
              </w:rPr>
            </w:pPr>
            <w:r>
              <w:rPr>
                <w:sz w:val="24"/>
              </w:rPr>
              <w:t>声</w:t>
            </w:r>
          </w:p>
        </w:tc>
        <w:tc>
          <w:tcPr>
            <w:tcW w:w="425" w:type="dxa"/>
            <w:tcBorders>
              <w:bottom w:val="single" w:color="auto" w:sz="4" w:space="0"/>
              <w:right w:val="single" w:color="auto" w:sz="4" w:space="0"/>
            </w:tcBorders>
            <w:noWrap w:val="0"/>
            <w:vAlign w:val="center"/>
          </w:tcPr>
          <w:p>
            <w:pPr>
              <w:spacing w:line="360" w:lineRule="auto"/>
              <w:jc w:val="center"/>
              <w:rPr>
                <w:sz w:val="24"/>
              </w:rPr>
            </w:pPr>
            <w:r>
              <w:rPr>
                <w:sz w:val="24"/>
              </w:rPr>
              <w:t>施工期</w:t>
            </w:r>
          </w:p>
        </w:tc>
        <w:tc>
          <w:tcPr>
            <w:tcW w:w="1289" w:type="dxa"/>
            <w:tcBorders>
              <w:left w:val="single" w:color="auto" w:sz="4" w:space="0"/>
            </w:tcBorders>
            <w:noWrap w:val="0"/>
            <w:vAlign w:val="center"/>
          </w:tcPr>
          <w:p>
            <w:pPr>
              <w:spacing w:line="360" w:lineRule="auto"/>
              <w:jc w:val="center"/>
              <w:rPr>
                <w:sz w:val="24"/>
              </w:rPr>
            </w:pPr>
            <w:r>
              <w:rPr>
                <w:sz w:val="24"/>
              </w:rPr>
              <w:t>施工机械设备及运输车辆</w:t>
            </w:r>
          </w:p>
        </w:tc>
        <w:tc>
          <w:tcPr>
            <w:tcW w:w="1276" w:type="dxa"/>
            <w:noWrap w:val="0"/>
            <w:vAlign w:val="center"/>
          </w:tcPr>
          <w:p>
            <w:pPr>
              <w:spacing w:line="360" w:lineRule="auto"/>
              <w:rPr>
                <w:sz w:val="24"/>
              </w:rPr>
            </w:pPr>
            <w:r>
              <w:rPr>
                <w:sz w:val="24"/>
              </w:rPr>
              <w:t>等效A声级</w:t>
            </w:r>
          </w:p>
        </w:tc>
        <w:tc>
          <w:tcPr>
            <w:tcW w:w="3695" w:type="dxa"/>
            <w:noWrap w:val="0"/>
            <w:vAlign w:val="center"/>
          </w:tcPr>
          <w:p>
            <w:pPr>
              <w:spacing w:line="360" w:lineRule="auto"/>
              <w:rPr>
                <w:sz w:val="24"/>
              </w:rPr>
            </w:pPr>
            <w:r>
              <w:rPr>
                <w:sz w:val="24"/>
              </w:rPr>
              <w:t>合理安排施工时间，并加强管理；运输车辆途经环境敏感点时采取限时、限速行驶、禁止鸣笛等措施。</w:t>
            </w:r>
          </w:p>
        </w:tc>
        <w:tc>
          <w:tcPr>
            <w:tcW w:w="1113" w:type="dxa"/>
            <w:noWrap w:val="0"/>
            <w:vAlign w:val="center"/>
          </w:tcPr>
          <w:p>
            <w:pPr>
              <w:spacing w:line="360" w:lineRule="auto"/>
              <w:rPr>
                <w:sz w:val="24"/>
              </w:rPr>
            </w:pPr>
            <w:r>
              <w:rPr>
                <w:sz w:val="24"/>
              </w:rPr>
              <w:t>减少噪声影响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6" w:hRule="atLeast"/>
          <w:jc w:val="center"/>
        </w:trPr>
        <w:tc>
          <w:tcPr>
            <w:tcW w:w="864" w:type="dxa"/>
            <w:vMerge w:val="continue"/>
            <w:noWrap w:val="0"/>
            <w:vAlign w:val="center"/>
          </w:tcPr>
          <w:p>
            <w:pPr>
              <w:spacing w:line="360" w:lineRule="auto"/>
              <w:jc w:val="center"/>
              <w:rPr>
                <w:sz w:val="24"/>
              </w:rPr>
            </w:pPr>
          </w:p>
        </w:tc>
        <w:tc>
          <w:tcPr>
            <w:tcW w:w="425" w:type="dxa"/>
            <w:tcBorders>
              <w:right w:val="single" w:color="auto" w:sz="4" w:space="0"/>
            </w:tcBorders>
            <w:noWrap w:val="0"/>
            <w:vAlign w:val="center"/>
          </w:tcPr>
          <w:p>
            <w:pPr>
              <w:spacing w:line="360" w:lineRule="auto"/>
              <w:jc w:val="center"/>
              <w:rPr>
                <w:sz w:val="24"/>
              </w:rPr>
            </w:pPr>
            <w:r>
              <w:rPr>
                <w:sz w:val="24"/>
              </w:rPr>
              <w:t>营运期</w:t>
            </w:r>
          </w:p>
        </w:tc>
        <w:tc>
          <w:tcPr>
            <w:tcW w:w="1289" w:type="dxa"/>
            <w:tcBorders>
              <w:left w:val="single" w:color="auto" w:sz="4" w:space="0"/>
            </w:tcBorders>
            <w:noWrap w:val="0"/>
            <w:vAlign w:val="center"/>
          </w:tcPr>
          <w:p>
            <w:pPr>
              <w:spacing w:line="360" w:lineRule="auto"/>
              <w:jc w:val="center"/>
              <w:rPr>
                <w:sz w:val="24"/>
              </w:rPr>
            </w:pPr>
            <w:r>
              <w:rPr>
                <w:sz w:val="24"/>
              </w:rPr>
              <w:t>导线电晕放电、共模噪声</w:t>
            </w:r>
          </w:p>
        </w:tc>
        <w:tc>
          <w:tcPr>
            <w:tcW w:w="1276" w:type="dxa"/>
            <w:noWrap w:val="0"/>
            <w:vAlign w:val="center"/>
          </w:tcPr>
          <w:p>
            <w:pPr>
              <w:spacing w:line="360" w:lineRule="auto"/>
              <w:rPr>
                <w:sz w:val="24"/>
              </w:rPr>
            </w:pPr>
            <w:r>
              <w:rPr>
                <w:sz w:val="24"/>
              </w:rPr>
              <w:t>等效A声级</w:t>
            </w:r>
          </w:p>
        </w:tc>
        <w:tc>
          <w:tcPr>
            <w:tcW w:w="3695" w:type="dxa"/>
            <w:noWrap w:val="0"/>
            <w:vAlign w:val="center"/>
          </w:tcPr>
          <w:p>
            <w:pPr>
              <w:spacing w:line="360" w:lineRule="auto"/>
              <w:rPr>
                <w:sz w:val="24"/>
              </w:rPr>
            </w:pPr>
            <w:r>
              <w:rPr>
                <w:sz w:val="24"/>
              </w:rPr>
              <w:t>在设备订货时要求提高导线加工工艺，防止由于导线缺陷处的空气电离产生的电晕，降低线路运行时产生的可听噪声水平。</w:t>
            </w:r>
          </w:p>
        </w:tc>
        <w:tc>
          <w:tcPr>
            <w:tcW w:w="1113" w:type="dxa"/>
            <w:noWrap w:val="0"/>
            <w:vAlign w:val="center"/>
          </w:tcPr>
          <w:p>
            <w:pPr>
              <w:spacing w:line="360" w:lineRule="auto"/>
              <w:jc w:val="center"/>
              <w:rPr>
                <w:sz w:val="24"/>
              </w:rPr>
            </w:pPr>
            <w:r>
              <w:rPr>
                <w:sz w:val="24"/>
              </w:rPr>
              <w:t>声环境保持良好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81" w:hRule="atLeast"/>
          <w:jc w:val="center"/>
        </w:trPr>
        <w:tc>
          <w:tcPr>
            <w:tcW w:w="864" w:type="dxa"/>
            <w:noWrap w:val="0"/>
            <w:vAlign w:val="center"/>
          </w:tcPr>
          <w:p>
            <w:pPr>
              <w:spacing w:line="360" w:lineRule="auto"/>
              <w:jc w:val="center"/>
              <w:rPr>
                <w:sz w:val="24"/>
              </w:rPr>
            </w:pPr>
            <w:r>
              <w:rPr>
                <w:sz w:val="24"/>
              </w:rPr>
              <w:t>电</w:t>
            </w:r>
          </w:p>
          <w:p>
            <w:pPr>
              <w:spacing w:line="360" w:lineRule="auto"/>
              <w:jc w:val="center"/>
              <w:rPr>
                <w:sz w:val="24"/>
              </w:rPr>
            </w:pPr>
            <w:r>
              <w:rPr>
                <w:sz w:val="24"/>
              </w:rPr>
              <w:t>磁</w:t>
            </w:r>
          </w:p>
          <w:p>
            <w:pPr>
              <w:spacing w:line="360" w:lineRule="auto"/>
              <w:jc w:val="center"/>
              <w:rPr>
                <w:sz w:val="24"/>
              </w:rPr>
            </w:pPr>
            <w:r>
              <w:rPr>
                <w:sz w:val="24"/>
              </w:rPr>
              <w:t>场</w:t>
            </w:r>
          </w:p>
        </w:tc>
        <w:tc>
          <w:tcPr>
            <w:tcW w:w="425" w:type="dxa"/>
            <w:tcBorders>
              <w:bottom w:val="single" w:color="auto" w:sz="4" w:space="0"/>
              <w:right w:val="single" w:color="auto" w:sz="4" w:space="0"/>
            </w:tcBorders>
            <w:noWrap w:val="0"/>
            <w:vAlign w:val="center"/>
          </w:tcPr>
          <w:p>
            <w:pPr>
              <w:spacing w:line="360" w:lineRule="auto"/>
              <w:jc w:val="center"/>
              <w:rPr>
                <w:sz w:val="24"/>
              </w:rPr>
            </w:pPr>
            <w:r>
              <w:rPr>
                <w:sz w:val="24"/>
              </w:rPr>
              <w:t>营</w:t>
            </w:r>
          </w:p>
          <w:p>
            <w:pPr>
              <w:spacing w:line="360" w:lineRule="auto"/>
              <w:jc w:val="center"/>
              <w:rPr>
                <w:sz w:val="24"/>
              </w:rPr>
            </w:pPr>
            <w:r>
              <w:rPr>
                <w:sz w:val="24"/>
              </w:rPr>
              <w:t>运</w:t>
            </w:r>
          </w:p>
          <w:p>
            <w:pPr>
              <w:spacing w:line="360" w:lineRule="auto"/>
              <w:rPr>
                <w:sz w:val="24"/>
              </w:rPr>
            </w:pPr>
            <w:r>
              <w:rPr>
                <w:sz w:val="24"/>
              </w:rPr>
              <w:t>期</w:t>
            </w:r>
          </w:p>
        </w:tc>
        <w:tc>
          <w:tcPr>
            <w:tcW w:w="1289" w:type="dxa"/>
            <w:tcBorders>
              <w:left w:val="single" w:color="auto" w:sz="4" w:space="0"/>
            </w:tcBorders>
            <w:noWrap w:val="0"/>
            <w:vAlign w:val="center"/>
          </w:tcPr>
          <w:p>
            <w:pPr>
              <w:spacing w:line="360" w:lineRule="auto"/>
              <w:rPr>
                <w:sz w:val="24"/>
              </w:rPr>
            </w:pPr>
            <w:r>
              <w:rPr>
                <w:sz w:val="24"/>
              </w:rPr>
              <w:t>输电线路</w:t>
            </w:r>
          </w:p>
        </w:tc>
        <w:tc>
          <w:tcPr>
            <w:tcW w:w="1276" w:type="dxa"/>
            <w:noWrap w:val="0"/>
            <w:vAlign w:val="center"/>
          </w:tcPr>
          <w:p>
            <w:pPr>
              <w:spacing w:line="360" w:lineRule="auto"/>
              <w:jc w:val="center"/>
              <w:rPr>
                <w:sz w:val="24"/>
              </w:rPr>
            </w:pPr>
            <w:r>
              <w:rPr>
                <w:sz w:val="24"/>
              </w:rPr>
              <w:t>工频电磁场、</w:t>
            </w:r>
          </w:p>
        </w:tc>
        <w:tc>
          <w:tcPr>
            <w:tcW w:w="3695" w:type="dxa"/>
            <w:noWrap w:val="0"/>
            <w:vAlign w:val="center"/>
          </w:tcPr>
          <w:p>
            <w:pPr>
              <w:spacing w:line="360" w:lineRule="auto"/>
              <w:rPr>
                <w:sz w:val="24"/>
              </w:rPr>
            </w:pPr>
            <w:r>
              <w:rPr>
                <w:sz w:val="24"/>
              </w:rPr>
              <w:t>科学设置导线排列方式、选购光洁度高的导线。加强线路日常管理和维护，使线路保持良好的运行状态。</w:t>
            </w:r>
          </w:p>
        </w:tc>
        <w:tc>
          <w:tcPr>
            <w:tcW w:w="1113" w:type="dxa"/>
            <w:noWrap w:val="0"/>
            <w:vAlign w:val="center"/>
          </w:tcPr>
          <w:p>
            <w:pPr>
              <w:spacing w:line="360" w:lineRule="auto"/>
              <w:rPr>
                <w:sz w:val="24"/>
              </w:rPr>
            </w:pPr>
            <w:r>
              <w:rPr>
                <w:sz w:val="24"/>
              </w:rPr>
              <w:t>有效减少电磁场影响，工频电磁场均低于相应标准限值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5" w:hRule="atLeast"/>
          <w:jc w:val="center"/>
        </w:trPr>
        <w:tc>
          <w:tcPr>
            <w:tcW w:w="8662" w:type="dxa"/>
            <w:gridSpan w:val="6"/>
            <w:noWrap w:val="0"/>
            <w:vAlign w:val="top"/>
          </w:tcPr>
          <w:p>
            <w:pPr>
              <w:spacing w:line="360" w:lineRule="auto"/>
              <w:rPr>
                <w:b/>
                <w:sz w:val="24"/>
              </w:rPr>
            </w:pPr>
            <w:r>
              <w:rPr>
                <w:b/>
                <w:sz w:val="24"/>
              </w:rPr>
              <w:t>生态保护措施及预期效果：</w:t>
            </w:r>
          </w:p>
          <w:p>
            <w:pPr>
              <w:spacing w:line="480" w:lineRule="exact"/>
              <w:ind w:firstLine="480" w:firstLineChars="200"/>
              <w:rPr>
                <w:sz w:val="24"/>
              </w:rPr>
            </w:pPr>
            <w:r>
              <w:rPr>
                <w:sz w:val="24"/>
              </w:rPr>
              <w:t>本工程线路位于保定市满城区。施工结束后及时进行植被恢复，不会对周围的生态环境造成影响。</w:t>
            </w:r>
          </w:p>
          <w:p>
            <w:pPr>
              <w:spacing w:line="480" w:lineRule="exact"/>
              <w:ind w:firstLine="480" w:firstLineChars="200"/>
              <w:rPr>
                <w:sz w:val="24"/>
              </w:rPr>
            </w:pPr>
            <w:r>
              <w:rPr>
                <w:sz w:val="24"/>
              </w:rPr>
              <w:t>（1）施工范围尽量在选址范围内进行，输电线路施工道路，原则上利用现有道路或在原有路基上拓宽。工程施工合理安排施工顺序，尽量分片开挖、铺设、及时回填，减少施工对土地扰动，减少弃渣的临时堆放。</w:t>
            </w:r>
          </w:p>
          <w:p>
            <w:pPr>
              <w:spacing w:line="480" w:lineRule="exact"/>
              <w:ind w:firstLine="480" w:firstLineChars="200"/>
              <w:rPr>
                <w:sz w:val="24"/>
              </w:rPr>
            </w:pPr>
            <w:r>
              <w:rPr>
                <w:sz w:val="24"/>
              </w:rPr>
              <w:t>（2）加强施工管理和临时防护措施，对于容易流失的建筑材料（水泥）应及时入库，砂石料要集中堆放，同时在其周边用装土麻袋进行拦护，预防被雨水冲走，减少水土流失。</w:t>
            </w:r>
          </w:p>
          <w:p>
            <w:pPr>
              <w:spacing w:line="480" w:lineRule="exact"/>
              <w:ind w:firstLine="480" w:firstLineChars="200"/>
              <w:rPr>
                <w:sz w:val="24"/>
              </w:rPr>
            </w:pPr>
            <w:r>
              <w:rPr>
                <w:sz w:val="24"/>
              </w:rPr>
              <w:t>（3）全线采用人工开挖。</w:t>
            </w:r>
          </w:p>
          <w:p>
            <w:pPr>
              <w:spacing w:line="480" w:lineRule="exact"/>
              <w:ind w:firstLine="480" w:firstLineChars="200"/>
              <w:rPr>
                <w:sz w:val="24"/>
              </w:rPr>
            </w:pPr>
            <w:r>
              <w:rPr>
                <w:sz w:val="24"/>
              </w:rPr>
              <w:t>（4）当部分工程完成后，及时对裸露地进行硬化或整治绿化。</w:t>
            </w:r>
          </w:p>
          <w:p>
            <w:pPr>
              <w:spacing w:line="480" w:lineRule="exact"/>
              <w:ind w:firstLine="480" w:firstLineChars="200"/>
              <w:rPr>
                <w:sz w:val="24"/>
              </w:rPr>
            </w:pPr>
            <w:r>
              <w:rPr>
                <w:sz w:val="24"/>
              </w:rPr>
              <w:t>（5）对于施工期建材的堆放，在工程施工结束后，及时进行清理，并对临时用地进行整治，覆土退耕或恢复植被，架线牵张场选在植被稀少的区域，防止砍伐树木，工程结束后，恢复牵张场植被。</w:t>
            </w:r>
          </w:p>
          <w:p>
            <w:pPr>
              <w:adjustRightInd w:val="0"/>
              <w:snapToGrid w:val="0"/>
              <w:spacing w:line="480" w:lineRule="exact"/>
              <w:ind w:firstLine="480" w:firstLineChars="200"/>
              <w:jc w:val="left"/>
              <w:rPr>
                <w:sz w:val="24"/>
              </w:rPr>
            </w:pPr>
            <w:r>
              <w:rPr>
                <w:sz w:val="24"/>
              </w:rPr>
              <w:t>综上，工程施工期对环境的影响是小范围的、短暂的、可逆的，随着施工期的结束，对环境的影响也将消失。设计及施工阶段充分考虑环境保护要求并采取相应的环境保护措施后，本工程建设产生生态环境影响可接受。</w:t>
            </w:r>
          </w:p>
          <w:p>
            <w:pPr>
              <w:spacing w:line="500" w:lineRule="exact"/>
              <w:ind w:firstLine="480"/>
              <w:rPr>
                <w:sz w:val="24"/>
              </w:rPr>
            </w:pPr>
          </w:p>
          <w:p>
            <w:pPr>
              <w:spacing w:line="500" w:lineRule="exact"/>
              <w:ind w:firstLine="480"/>
              <w:rPr>
                <w:sz w:val="24"/>
              </w:rPr>
            </w:pPr>
          </w:p>
          <w:p>
            <w:pPr>
              <w:spacing w:line="500" w:lineRule="exact"/>
              <w:ind w:firstLine="480"/>
              <w:rPr>
                <w:sz w:val="24"/>
              </w:rPr>
            </w:pPr>
          </w:p>
          <w:p>
            <w:pPr>
              <w:spacing w:line="500" w:lineRule="exact"/>
              <w:ind w:firstLine="480"/>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500" w:lineRule="exact"/>
              <w:rPr>
                <w:sz w:val="24"/>
              </w:rPr>
            </w:pPr>
          </w:p>
          <w:p>
            <w:pPr>
              <w:spacing w:line="360" w:lineRule="auto"/>
              <w:rPr>
                <w:sz w:val="24"/>
              </w:rPr>
            </w:pPr>
          </w:p>
        </w:tc>
      </w:tr>
    </w:tbl>
    <w:p>
      <w:pPr>
        <w:pStyle w:val="2"/>
        <w:rPr>
          <w:rFonts w:ascii="Times New Roman"/>
        </w:rPr>
      </w:pPr>
      <w:r>
        <w:rPr>
          <w:rFonts w:ascii="Times New Roman"/>
        </w:rPr>
        <w:t>项目可行性分析</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71" w:hRule="atLeast"/>
        </w:trPr>
        <w:tc>
          <w:tcPr>
            <w:tcW w:w="8522" w:type="dxa"/>
            <w:noWrap w:val="0"/>
            <w:vAlign w:val="top"/>
          </w:tcPr>
          <w:p>
            <w:pPr>
              <w:pStyle w:val="16"/>
              <w:spacing w:line="480" w:lineRule="exact"/>
              <w:ind w:firstLine="480" w:firstLineChars="200"/>
              <w:jc w:val="left"/>
              <w:rPr>
                <w:rFonts w:hint="eastAsia"/>
                <w:sz w:val="24"/>
              </w:rPr>
            </w:pPr>
            <w:r>
              <w:rPr>
                <w:sz w:val="24"/>
              </w:rPr>
              <w:t>保定西北郊热电送出工程线路全长4.6km，</w:t>
            </w:r>
            <w:r>
              <w:rPr>
                <w:bCs/>
                <w:sz w:val="24"/>
              </w:rPr>
              <w:t>全线双回路铁塔架设</w:t>
            </w:r>
            <w:r>
              <w:rPr>
                <w:sz w:val="24"/>
              </w:rPr>
              <w:t>，全线共需建杆塔21基，</w:t>
            </w:r>
            <w:r>
              <w:rPr>
                <w:snapToGrid w:val="0"/>
                <w:kern w:val="0"/>
                <w:sz w:val="24"/>
              </w:rPr>
              <w:t>其中：双回路耐张塔11基，双回路直线塔10基。</w:t>
            </w:r>
            <w:r>
              <w:rPr>
                <w:sz w:val="24"/>
              </w:rPr>
              <w:t>工程永久占地约为2100m</w:t>
            </w:r>
            <w:r>
              <w:rPr>
                <w:sz w:val="24"/>
                <w:vertAlign w:val="superscript"/>
              </w:rPr>
              <w:t>2</w:t>
            </w:r>
            <w:r>
              <w:rPr>
                <w:bCs/>
                <w:sz w:val="24"/>
              </w:rPr>
              <w:t>。</w:t>
            </w:r>
            <w:r>
              <w:rPr>
                <w:sz w:val="24"/>
              </w:rPr>
              <w:t>沿线为</w:t>
            </w:r>
            <w:r>
              <w:rPr>
                <w:bCs/>
                <w:kern w:val="0"/>
                <w:sz w:val="24"/>
              </w:rPr>
              <w:t>平原地区</w:t>
            </w:r>
            <w:r>
              <w:rPr>
                <w:bCs/>
                <w:sz w:val="24"/>
              </w:rPr>
              <w:t>。</w:t>
            </w:r>
            <w:r>
              <w:rPr>
                <w:sz w:val="24"/>
              </w:rPr>
              <w:t>全线位于保定市满城区。</w:t>
            </w:r>
          </w:p>
          <w:p>
            <w:pPr>
              <w:pStyle w:val="16"/>
              <w:spacing w:line="480" w:lineRule="exact"/>
              <w:ind w:firstLine="512" w:firstLineChars="200"/>
              <w:jc w:val="left"/>
              <w:rPr>
                <w:rFonts w:hint="eastAsia"/>
                <w:spacing w:val="8"/>
                <w:sz w:val="24"/>
              </w:rPr>
            </w:pPr>
            <w:r>
              <w:rPr>
                <w:rFonts w:hint="eastAsia"/>
                <w:spacing w:val="8"/>
                <w:sz w:val="24"/>
              </w:rPr>
              <w:t>本项目线路工程未在以上文物保护区内，已取得</w:t>
            </w:r>
            <w:r>
              <w:rPr>
                <w:rFonts w:hAnsi="宋体"/>
                <w:sz w:val="24"/>
              </w:rPr>
              <w:t>保定市满城区文物勘探队关于保定西北郊电厂送出线路路径方案征求意见的函</w:t>
            </w:r>
            <w:r>
              <w:rPr>
                <w:rFonts w:hint="eastAsia" w:hAnsi="宋体"/>
                <w:sz w:val="24"/>
              </w:rPr>
              <w:t>，同意本项目建设</w:t>
            </w:r>
            <w:r>
              <w:rPr>
                <w:rFonts w:hint="eastAsia"/>
                <w:spacing w:val="8"/>
                <w:sz w:val="24"/>
              </w:rPr>
              <w:t>。</w:t>
            </w:r>
          </w:p>
          <w:p>
            <w:pPr>
              <w:pStyle w:val="16"/>
              <w:spacing w:line="480" w:lineRule="exact"/>
              <w:ind w:firstLine="480" w:firstLineChars="200"/>
              <w:jc w:val="left"/>
              <w:rPr>
                <w:sz w:val="24"/>
              </w:rPr>
            </w:pPr>
            <w:r>
              <w:rPr>
                <w:rFonts w:hint="eastAsia"/>
                <w:sz w:val="24"/>
              </w:rPr>
              <w:t>本项目线路工程位于一亩泉地下水源准保护区内，本项目不属于</w:t>
            </w:r>
            <w:r>
              <w:rPr>
                <w:bCs/>
                <w:kern w:val="0"/>
                <w:sz w:val="24"/>
              </w:rPr>
              <w:t>城镇垃圾、粪便和易溶、有毒有害废弃物堆放场站</w:t>
            </w:r>
            <w:r>
              <w:rPr>
                <w:rFonts w:hint="eastAsia"/>
                <w:bCs/>
                <w:kern w:val="0"/>
                <w:sz w:val="24"/>
              </w:rPr>
              <w:t>项目。本项目营运期间不产生生产废水，仅在施工过程中对准保护区产生一定影响，该工程施工过程中不产生废水且施工时间较短，因此本项目对一亩泉地下水源准保护区影响较小。</w:t>
            </w:r>
          </w:p>
          <w:p>
            <w:pPr>
              <w:spacing w:line="480" w:lineRule="exact"/>
              <w:ind w:firstLine="480" w:firstLineChars="200"/>
              <w:rPr>
                <w:sz w:val="24"/>
              </w:rPr>
            </w:pPr>
            <w:r>
              <w:rPr>
                <w:sz w:val="24"/>
              </w:rPr>
              <w:t>电磁环境评价范围输电线路的评价范围为线路边导线地面投影外两侧各40m带状区域范围内共有</w:t>
            </w:r>
            <w:r>
              <w:rPr>
                <w:rFonts w:hint="eastAsia"/>
                <w:sz w:val="24"/>
              </w:rPr>
              <w:t>4</w:t>
            </w:r>
            <w:r>
              <w:rPr>
                <w:sz w:val="24"/>
              </w:rPr>
              <w:t>处敏感保护目标，线路路径已取得相关部门意见，同意线路建设。其相关路径协议见附件。</w:t>
            </w:r>
            <w:r>
              <w:rPr>
                <w:rFonts w:hint="eastAsia"/>
                <w:sz w:val="24"/>
              </w:rPr>
              <w:t>本项目尽量选择在南水北调输水管道保护范围30m外立塔，并且不在南水北调输水管道保护范围内进行施工。</w:t>
            </w:r>
          </w:p>
          <w:p>
            <w:pPr>
              <w:adjustRightInd w:val="0"/>
              <w:snapToGrid w:val="0"/>
              <w:spacing w:line="480" w:lineRule="exact"/>
              <w:ind w:firstLine="480" w:firstLineChars="200"/>
              <w:rPr>
                <w:b/>
                <w:bCs/>
                <w:sz w:val="24"/>
              </w:rPr>
            </w:pPr>
            <w:r>
              <w:rPr>
                <w:kern w:val="0"/>
                <w:sz w:val="24"/>
              </w:rPr>
              <w:t>该项目属于输变电工程及电网改造和建设，为国家《产业结构调整指导目录（2011年本）（2013年修正）》中鼓励类电力产业，符合国家电力产业政策。</w:t>
            </w:r>
          </w:p>
          <w:p>
            <w:pPr>
              <w:spacing w:line="480" w:lineRule="exact"/>
              <w:ind w:firstLine="480" w:firstLineChars="200"/>
              <w:rPr>
                <w:sz w:val="24"/>
              </w:rPr>
            </w:pPr>
            <w:r>
              <w:rPr>
                <w:sz w:val="24"/>
              </w:rPr>
              <w:t>经过线路计算预测，当本项目线路投入运行后，220kV架空送电线路工频电场和工频磁感应强度分别符合4kV/m和100μT的评价标准。运营期线路噪声达到《工业企业厂界环境噪声排放标准》（GB12348-2008）</w:t>
            </w:r>
            <w:r>
              <w:rPr>
                <w:rFonts w:hint="eastAsia"/>
                <w:sz w:val="24"/>
              </w:rPr>
              <w:t>1</w:t>
            </w:r>
            <w:r>
              <w:rPr>
                <w:sz w:val="24"/>
              </w:rPr>
              <w:t>类，即昼间</w:t>
            </w:r>
            <w:r>
              <w:rPr>
                <w:rFonts w:hint="eastAsia"/>
                <w:sz w:val="24"/>
              </w:rPr>
              <w:t>55</w:t>
            </w:r>
            <w:r>
              <w:rPr>
                <w:sz w:val="24"/>
              </w:rPr>
              <w:t>dB（A），夜间</w:t>
            </w:r>
            <w:r>
              <w:rPr>
                <w:rFonts w:hint="eastAsia"/>
                <w:sz w:val="24"/>
              </w:rPr>
              <w:t>45</w:t>
            </w:r>
            <w:r>
              <w:rPr>
                <w:sz w:val="24"/>
              </w:rPr>
              <w:t>dB（A）。</w:t>
            </w:r>
          </w:p>
          <w:p>
            <w:pPr>
              <w:spacing w:line="480" w:lineRule="exact"/>
              <w:ind w:firstLine="480" w:firstLineChars="200"/>
              <w:rPr>
                <w:bCs/>
                <w:sz w:val="24"/>
              </w:rPr>
            </w:pPr>
            <w:r>
              <w:rPr>
                <w:bCs/>
                <w:sz w:val="24"/>
              </w:rPr>
              <w:t>综上所述，本项目线路路径的建设是可行的。</w:t>
            </w:r>
          </w:p>
          <w:p>
            <w:pPr>
              <w:spacing w:line="480" w:lineRule="atLeast"/>
              <w:rPr>
                <w:b/>
                <w:bCs/>
                <w:szCs w:val="21"/>
              </w:rPr>
            </w:pPr>
          </w:p>
          <w:p>
            <w:pPr>
              <w:rPr>
                <w:szCs w:val="21"/>
              </w:rPr>
            </w:pPr>
          </w:p>
          <w:p>
            <w:pPr>
              <w:tabs>
                <w:tab w:val="left" w:pos="2442"/>
              </w:tabs>
              <w:rPr>
                <w:szCs w:val="21"/>
              </w:rPr>
            </w:pPr>
            <w:r>
              <w:rPr>
                <w:szCs w:val="21"/>
              </w:rPr>
              <w:tab/>
            </w:r>
          </w:p>
          <w:p>
            <w:pPr>
              <w:tabs>
                <w:tab w:val="left" w:pos="2442"/>
              </w:tabs>
              <w:rPr>
                <w:szCs w:val="21"/>
              </w:rPr>
            </w:pPr>
          </w:p>
          <w:p>
            <w:pPr>
              <w:tabs>
                <w:tab w:val="left" w:pos="2442"/>
              </w:tabs>
              <w:rPr>
                <w:szCs w:val="21"/>
              </w:rPr>
            </w:pPr>
          </w:p>
          <w:p>
            <w:pPr>
              <w:tabs>
                <w:tab w:val="left" w:pos="2442"/>
              </w:tabs>
              <w:rPr>
                <w:szCs w:val="21"/>
              </w:rPr>
            </w:pPr>
          </w:p>
          <w:p>
            <w:pPr>
              <w:tabs>
                <w:tab w:val="left" w:pos="2442"/>
              </w:tabs>
              <w:rPr>
                <w:szCs w:val="21"/>
              </w:rPr>
            </w:pPr>
          </w:p>
          <w:p>
            <w:pPr>
              <w:tabs>
                <w:tab w:val="left" w:pos="2442"/>
              </w:tabs>
              <w:rPr>
                <w:szCs w:val="21"/>
              </w:rPr>
            </w:pPr>
          </w:p>
          <w:p>
            <w:pPr>
              <w:tabs>
                <w:tab w:val="left" w:pos="2442"/>
              </w:tabs>
              <w:rPr>
                <w:szCs w:val="21"/>
              </w:rPr>
            </w:pPr>
          </w:p>
          <w:p>
            <w:pPr>
              <w:tabs>
                <w:tab w:val="left" w:pos="2442"/>
              </w:tabs>
              <w:rPr>
                <w:szCs w:val="21"/>
              </w:rPr>
            </w:pPr>
          </w:p>
          <w:p>
            <w:pPr>
              <w:tabs>
                <w:tab w:val="left" w:pos="2442"/>
              </w:tabs>
              <w:rPr>
                <w:szCs w:val="21"/>
              </w:rPr>
            </w:pPr>
          </w:p>
          <w:p>
            <w:pPr>
              <w:tabs>
                <w:tab w:val="left" w:pos="2442"/>
              </w:tabs>
              <w:rPr>
                <w:szCs w:val="21"/>
              </w:rPr>
            </w:pPr>
          </w:p>
          <w:p>
            <w:pPr>
              <w:tabs>
                <w:tab w:val="left" w:pos="2442"/>
              </w:tabs>
              <w:rPr>
                <w:szCs w:val="21"/>
              </w:rPr>
            </w:pPr>
          </w:p>
        </w:tc>
      </w:tr>
    </w:tbl>
    <w:p>
      <w:pPr>
        <w:pStyle w:val="2"/>
        <w:rPr>
          <w:rFonts w:ascii="Times New Roman"/>
        </w:rPr>
      </w:pPr>
      <w:r>
        <w:rPr>
          <w:rFonts w:ascii="Times New Roman"/>
        </w:rPr>
        <w:t>结论与建议</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83" w:hRule="atLeast"/>
          <w:jc w:val="center"/>
        </w:trPr>
        <w:tc>
          <w:tcPr>
            <w:tcW w:w="8522" w:type="dxa"/>
            <w:noWrap w:val="0"/>
            <w:vAlign w:val="top"/>
          </w:tcPr>
          <w:p>
            <w:pPr>
              <w:spacing w:line="480" w:lineRule="exact"/>
              <w:rPr>
                <w:b/>
                <w:sz w:val="24"/>
              </w:rPr>
            </w:pPr>
            <w:r>
              <w:rPr>
                <w:b/>
                <w:sz w:val="24"/>
              </w:rPr>
              <w:t>1、结论</w:t>
            </w:r>
          </w:p>
          <w:p>
            <w:pPr>
              <w:spacing w:line="480" w:lineRule="exact"/>
              <w:ind w:firstLine="480" w:firstLineChars="200"/>
              <w:rPr>
                <w:sz w:val="24"/>
              </w:rPr>
            </w:pPr>
            <w:r>
              <w:rPr>
                <w:sz w:val="24"/>
              </w:rPr>
              <w:t>（1）项目依据</w:t>
            </w:r>
          </w:p>
          <w:p>
            <w:pPr>
              <w:spacing w:line="480" w:lineRule="exact"/>
              <w:ind w:firstLine="480" w:firstLineChars="200"/>
              <w:rPr>
                <w:sz w:val="24"/>
              </w:rPr>
            </w:pPr>
            <w:r>
              <w:rPr>
                <w:sz w:val="24"/>
              </w:rPr>
              <w:t>建设保定西北郊热电厂一期2×350MW工程可满足河北南网负荷增长的需要，为当地热负荷提供热源，有助于节能减排，改善当地及周边地区的环境状况。因此，其建设是十分必要的。为满足电厂电力尽快发挥作用，现开展西北郊热电220kV送出工程是必要的。</w:t>
            </w:r>
          </w:p>
          <w:p>
            <w:pPr>
              <w:spacing w:line="480" w:lineRule="exact"/>
              <w:ind w:firstLine="520" w:firstLineChars="200"/>
              <w:rPr>
                <w:spacing w:val="10"/>
                <w:sz w:val="24"/>
              </w:rPr>
            </w:pPr>
            <w:r>
              <w:rPr>
                <w:spacing w:val="10"/>
                <w:sz w:val="24"/>
              </w:rPr>
              <w:t>（2）线路工程</w:t>
            </w:r>
          </w:p>
          <w:p>
            <w:pPr>
              <w:spacing w:line="480" w:lineRule="exact"/>
              <w:ind w:firstLine="480" w:firstLineChars="200"/>
              <w:rPr>
                <w:spacing w:val="10"/>
                <w:sz w:val="24"/>
              </w:rPr>
            </w:pPr>
            <w:r>
              <w:rPr>
                <w:sz w:val="24"/>
              </w:rPr>
              <w:t>保定西北郊热电送出工程线路全长4.6km，</w:t>
            </w:r>
            <w:r>
              <w:rPr>
                <w:bCs/>
                <w:sz w:val="24"/>
              </w:rPr>
              <w:t>全线双回路铁塔架设</w:t>
            </w:r>
            <w:r>
              <w:rPr>
                <w:sz w:val="24"/>
              </w:rPr>
              <w:t>，全线共需建杆塔21基，</w:t>
            </w:r>
            <w:r>
              <w:rPr>
                <w:snapToGrid w:val="0"/>
                <w:kern w:val="0"/>
                <w:sz w:val="24"/>
              </w:rPr>
              <w:t>其中：双回路耐张塔11基，双回路直线塔10基。</w:t>
            </w:r>
            <w:r>
              <w:rPr>
                <w:sz w:val="24"/>
              </w:rPr>
              <w:t>工程永久占地约为2100m</w:t>
            </w:r>
            <w:r>
              <w:rPr>
                <w:sz w:val="24"/>
                <w:vertAlign w:val="superscript"/>
              </w:rPr>
              <w:t>2</w:t>
            </w:r>
            <w:r>
              <w:rPr>
                <w:bCs/>
                <w:sz w:val="24"/>
              </w:rPr>
              <w:t>。</w:t>
            </w:r>
            <w:r>
              <w:rPr>
                <w:sz w:val="24"/>
              </w:rPr>
              <w:t>沿线为</w:t>
            </w:r>
            <w:r>
              <w:rPr>
                <w:bCs/>
                <w:kern w:val="0"/>
                <w:sz w:val="24"/>
              </w:rPr>
              <w:t>平原地区</w:t>
            </w:r>
            <w:r>
              <w:rPr>
                <w:bCs/>
                <w:sz w:val="24"/>
              </w:rPr>
              <w:t>。</w:t>
            </w:r>
            <w:r>
              <w:rPr>
                <w:sz w:val="24"/>
              </w:rPr>
              <w:t>全线位于保定市满城区。</w:t>
            </w:r>
          </w:p>
          <w:p>
            <w:pPr>
              <w:spacing w:line="480" w:lineRule="exact"/>
              <w:ind w:firstLine="480" w:firstLineChars="200"/>
              <w:rPr>
                <w:sz w:val="24"/>
              </w:rPr>
            </w:pPr>
            <w:r>
              <w:rPr>
                <w:sz w:val="24"/>
              </w:rPr>
              <w:t>（3）施工期的环境影响</w:t>
            </w:r>
          </w:p>
          <w:p>
            <w:pPr>
              <w:spacing w:line="480" w:lineRule="exact"/>
              <w:ind w:firstLine="480" w:firstLineChars="200"/>
              <w:rPr>
                <w:bCs/>
                <w:sz w:val="24"/>
              </w:rPr>
            </w:pPr>
            <w:r>
              <w:rPr>
                <w:sz w:val="24"/>
              </w:rPr>
              <w:t>本项目施工过程产生的扬尘及土地裸露产生的二次扬尘和机械与车辆噪声，会使附近局部环境中TSP和噪声值有所增加，严格按照当地环保局的要求进行施工，施工完成后及时恢复施工现场，施工期对周围环境产生的影响较小。</w:t>
            </w:r>
          </w:p>
          <w:p>
            <w:pPr>
              <w:spacing w:line="480" w:lineRule="exact"/>
              <w:ind w:firstLine="480" w:firstLineChars="200"/>
              <w:rPr>
                <w:sz w:val="24"/>
              </w:rPr>
            </w:pPr>
            <w:r>
              <w:rPr>
                <w:sz w:val="24"/>
              </w:rPr>
              <w:t>（4）环境现状</w:t>
            </w:r>
          </w:p>
          <w:p>
            <w:pPr>
              <w:spacing w:line="480" w:lineRule="exact"/>
              <w:ind w:firstLine="480" w:firstLineChars="200"/>
              <w:rPr>
                <w:sz w:val="24"/>
              </w:rPr>
            </w:pPr>
            <w:r>
              <w:rPr>
                <w:sz w:val="24"/>
              </w:rPr>
              <w:t>现状监测结果表明，拟建线路路径的背景工频电场、工频磁感应强度综合量分别符合4kV/m、100μT的评价标准。</w:t>
            </w:r>
          </w:p>
          <w:p>
            <w:pPr>
              <w:spacing w:line="480" w:lineRule="exact"/>
              <w:ind w:firstLine="480" w:firstLineChars="200"/>
              <w:rPr>
                <w:sz w:val="24"/>
              </w:rPr>
            </w:pPr>
            <w:r>
              <w:rPr>
                <w:bCs/>
                <w:sz w:val="24"/>
              </w:rPr>
              <w:t>拟建线路下方昼间噪声现状值昼间为38.5dB(A)—54.8dB(A)，夜间为34.0dB(A)—38.0dB(A)，符合《声环境质量标准》（</w:t>
            </w:r>
            <w:r>
              <w:rPr>
                <w:sz w:val="24"/>
              </w:rPr>
              <w:t>GB3096－2008</w:t>
            </w:r>
            <w:r>
              <w:rPr>
                <w:bCs/>
                <w:sz w:val="24"/>
              </w:rPr>
              <w:t>）</w:t>
            </w:r>
            <w:r>
              <w:rPr>
                <w:rFonts w:hint="eastAsia"/>
                <w:bCs/>
                <w:sz w:val="24"/>
              </w:rPr>
              <w:t>1</w:t>
            </w:r>
            <w:r>
              <w:rPr>
                <w:bCs/>
                <w:sz w:val="24"/>
              </w:rPr>
              <w:t>类标准。</w:t>
            </w:r>
          </w:p>
          <w:p>
            <w:pPr>
              <w:spacing w:line="480" w:lineRule="exact"/>
              <w:ind w:firstLine="480" w:firstLineChars="200"/>
              <w:rPr>
                <w:sz w:val="24"/>
              </w:rPr>
            </w:pPr>
            <w:r>
              <w:rPr>
                <w:sz w:val="24"/>
              </w:rPr>
              <w:t>（5）线路电磁环境影响预测</w:t>
            </w:r>
          </w:p>
          <w:p>
            <w:pPr>
              <w:spacing w:line="480" w:lineRule="exact"/>
              <w:ind w:firstLine="480" w:firstLineChars="200"/>
              <w:rPr>
                <w:sz w:val="24"/>
              </w:rPr>
            </w:pPr>
            <w:r>
              <w:rPr>
                <w:sz w:val="24"/>
              </w:rPr>
              <w:t>双回工频电场综合量最大值出现在距线路中心线投影0m处，最大值为3.709kV/m，之后随与此点距离的增加电场强度呈逐渐降低的趋势，所有点位的工频电场强度值均符合4kV/m的评价标准。</w:t>
            </w:r>
          </w:p>
          <w:p>
            <w:pPr>
              <w:spacing w:line="480" w:lineRule="exact"/>
              <w:ind w:firstLine="480" w:firstLineChars="200"/>
              <w:rPr>
                <w:sz w:val="24"/>
              </w:rPr>
            </w:pPr>
            <w:r>
              <w:rPr>
                <w:sz w:val="24"/>
              </w:rPr>
              <w:t>双回工频磁感应强度综合量最大值出现在距线路中心线投影0m处，其值为81.73μT，之后随与此点距离的增加，其值逐步降低，所有点位的工频磁感应强度均符合100μT的评价标准。</w:t>
            </w:r>
          </w:p>
          <w:p>
            <w:pPr>
              <w:tabs>
                <w:tab w:val="left" w:pos="700"/>
              </w:tabs>
              <w:spacing w:line="480" w:lineRule="exact"/>
              <w:ind w:firstLine="480" w:firstLineChars="200"/>
              <w:rPr>
                <w:bCs/>
                <w:sz w:val="24"/>
              </w:rPr>
            </w:pPr>
            <w:r>
              <w:rPr>
                <w:sz w:val="24"/>
              </w:rPr>
              <w:t>（6）环境保护目标</w:t>
            </w:r>
          </w:p>
          <w:p>
            <w:pPr>
              <w:spacing w:line="480" w:lineRule="exact"/>
              <w:ind w:firstLine="480" w:firstLineChars="200"/>
              <w:rPr>
                <w:sz w:val="24"/>
              </w:rPr>
            </w:pPr>
            <w:r>
              <w:rPr>
                <w:sz w:val="24"/>
              </w:rPr>
              <w:t>输电线路的评价范围为线路边导线地面投影外两侧各40m带状区域范围内共有</w:t>
            </w:r>
            <w:r>
              <w:rPr>
                <w:rFonts w:hint="eastAsia"/>
                <w:sz w:val="24"/>
              </w:rPr>
              <w:t>2</w:t>
            </w:r>
            <w:r>
              <w:rPr>
                <w:sz w:val="24"/>
              </w:rPr>
              <w:t>处敏感保护目标。</w:t>
            </w:r>
          </w:p>
          <w:p>
            <w:pPr>
              <w:tabs>
                <w:tab w:val="left" w:pos="700"/>
              </w:tabs>
              <w:spacing w:line="480" w:lineRule="exact"/>
              <w:ind w:firstLine="480" w:firstLineChars="200"/>
              <w:rPr>
                <w:bCs/>
                <w:sz w:val="24"/>
              </w:rPr>
            </w:pPr>
            <w:r>
              <w:rPr>
                <w:sz w:val="24"/>
              </w:rPr>
              <w:t>（7）生态环境</w:t>
            </w:r>
          </w:p>
          <w:p>
            <w:pPr>
              <w:tabs>
                <w:tab w:val="left" w:pos="700"/>
              </w:tabs>
              <w:spacing w:line="480" w:lineRule="exact"/>
              <w:ind w:firstLine="480" w:firstLineChars="200"/>
              <w:rPr>
                <w:bCs/>
                <w:sz w:val="24"/>
              </w:rPr>
            </w:pPr>
            <w:r>
              <w:rPr>
                <w:sz w:val="24"/>
              </w:rPr>
              <w:t>本项目线路沿线为</w:t>
            </w:r>
            <w:r>
              <w:rPr>
                <w:bCs/>
                <w:kern w:val="0"/>
                <w:sz w:val="24"/>
              </w:rPr>
              <w:t>平原地区</w:t>
            </w:r>
            <w:r>
              <w:rPr>
                <w:sz w:val="24"/>
              </w:rPr>
              <w:t>，对区域生态环境影响较小。</w:t>
            </w:r>
          </w:p>
          <w:p>
            <w:pPr>
              <w:spacing w:line="480" w:lineRule="exact"/>
              <w:ind w:firstLine="480" w:firstLineChars="200"/>
              <w:rPr>
                <w:sz w:val="24"/>
              </w:rPr>
            </w:pPr>
            <w:r>
              <w:rPr>
                <w:sz w:val="24"/>
              </w:rPr>
              <w:t>（8）总体结论</w:t>
            </w:r>
          </w:p>
          <w:p>
            <w:pPr>
              <w:spacing w:line="480" w:lineRule="exact"/>
              <w:ind w:firstLine="480" w:firstLineChars="200"/>
              <w:rPr>
                <w:bCs/>
                <w:sz w:val="24"/>
              </w:rPr>
            </w:pPr>
            <w:r>
              <w:rPr>
                <w:sz w:val="24"/>
              </w:rPr>
              <w:t>综合分析，该项目建设符合国家产业政策，采取了合理选择线路路径、控制架线高度以及施工完成后的及时恢复等措施，从环保角度分析，本项目建设可行。</w:t>
            </w:r>
          </w:p>
          <w:p>
            <w:pPr>
              <w:spacing w:line="480" w:lineRule="exact"/>
              <w:rPr>
                <w:b/>
                <w:bCs/>
                <w:sz w:val="24"/>
              </w:rPr>
            </w:pPr>
            <w:r>
              <w:rPr>
                <w:b/>
                <w:sz w:val="24"/>
              </w:rPr>
              <w:t>2.建议</w:t>
            </w:r>
          </w:p>
          <w:p>
            <w:pPr>
              <w:spacing w:line="480" w:lineRule="exact"/>
              <w:ind w:firstLine="480" w:firstLineChars="200"/>
              <w:rPr>
                <w:sz w:val="24"/>
              </w:rPr>
            </w:pPr>
            <w:r>
              <w:rPr>
                <w:sz w:val="24"/>
              </w:rPr>
              <w:t>（1）建设单位在施工时要严格按照当地环保局的要求进行塔基、线路架设的施工，并及时恢复施工现场。</w:t>
            </w:r>
          </w:p>
          <w:p>
            <w:pPr>
              <w:spacing w:line="480" w:lineRule="exact"/>
              <w:ind w:firstLine="480" w:firstLineChars="200"/>
            </w:pPr>
            <w:r>
              <w:rPr>
                <w:sz w:val="24"/>
              </w:rPr>
              <w:t>（2）有关部门、单位及个人应按照有关规定，不得在线路保护区内规划、建设建筑物。</w:t>
            </w: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p>
            <w:pPr>
              <w:pStyle w:val="127"/>
              <w:tabs>
                <w:tab w:val="left" w:pos="1174"/>
                <w:tab w:val="left" w:pos="1202"/>
              </w:tabs>
              <w:spacing w:line="360" w:lineRule="auto"/>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9" w:hRule="atLeast"/>
          <w:jc w:val="center"/>
        </w:trPr>
        <w:tc>
          <w:tcPr>
            <w:tcW w:w="8522" w:type="dxa"/>
            <w:noWrap w:val="0"/>
            <w:vAlign w:val="top"/>
          </w:tcPr>
          <w:p>
            <w:pPr>
              <w:spacing w:before="240" w:after="120"/>
              <w:rPr>
                <w:sz w:val="28"/>
              </w:rPr>
            </w:pPr>
            <w:r>
              <w:rPr>
                <w:sz w:val="28"/>
              </w:rPr>
              <w:t>预审意见：</w:t>
            </w: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r>
              <w:rPr>
                <w:sz w:val="28"/>
              </w:rPr>
              <w:t xml:space="preserve">                                             公   章</w:t>
            </w:r>
          </w:p>
          <w:p>
            <w:pPr>
              <w:spacing w:before="240" w:after="120"/>
              <w:rPr>
                <w:sz w:val="28"/>
              </w:rPr>
            </w:pPr>
            <w:r>
              <w:rPr>
                <w:sz w:val="28"/>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7" w:hRule="atLeast"/>
          <w:jc w:val="center"/>
        </w:trPr>
        <w:tc>
          <w:tcPr>
            <w:tcW w:w="8522" w:type="dxa"/>
            <w:noWrap w:val="0"/>
            <w:vAlign w:val="top"/>
          </w:tcPr>
          <w:p>
            <w:pPr>
              <w:spacing w:before="240" w:after="120"/>
              <w:rPr>
                <w:sz w:val="28"/>
              </w:rPr>
            </w:pPr>
            <w:r>
              <w:rPr>
                <w:sz w:val="28"/>
              </w:rPr>
              <w:t>下一级环境保护行政主管部门审查意见：</w:t>
            </w: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r>
              <w:rPr>
                <w:sz w:val="28"/>
              </w:rPr>
              <w:t xml:space="preserve">                                             公   章</w:t>
            </w:r>
          </w:p>
          <w:p>
            <w:pPr>
              <w:spacing w:before="240" w:after="120"/>
              <w:rPr>
                <w:sz w:val="28"/>
              </w:rPr>
            </w:pPr>
            <w:r>
              <w:rPr>
                <w:sz w:val="28"/>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26" w:hRule="atLeast"/>
          <w:jc w:val="center"/>
        </w:trPr>
        <w:tc>
          <w:tcPr>
            <w:tcW w:w="8522" w:type="dxa"/>
            <w:noWrap w:val="0"/>
            <w:vAlign w:val="top"/>
          </w:tcPr>
          <w:p>
            <w:pPr>
              <w:spacing w:before="240" w:after="120"/>
              <w:rPr>
                <w:sz w:val="28"/>
              </w:rPr>
            </w:pPr>
            <w:r>
              <w:rPr>
                <w:sz w:val="28"/>
              </w:rPr>
              <w:t>审批意见：</w:t>
            </w: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rPr>
                <w:sz w:val="28"/>
              </w:rPr>
            </w:pPr>
          </w:p>
          <w:p>
            <w:pPr>
              <w:spacing w:before="240" w:after="120"/>
              <w:jc w:val="center"/>
              <w:rPr>
                <w:sz w:val="28"/>
              </w:rPr>
            </w:pPr>
            <w:r>
              <w:rPr>
                <w:sz w:val="28"/>
              </w:rPr>
              <w:t xml:space="preserve">                                             公   章</w:t>
            </w:r>
          </w:p>
          <w:p>
            <w:pPr>
              <w:spacing w:before="240" w:after="120"/>
              <w:ind w:right="420"/>
              <w:jc w:val="right"/>
              <w:rPr>
                <w:sz w:val="28"/>
              </w:rPr>
            </w:pPr>
            <w:r>
              <w:rPr>
                <w:sz w:val="28"/>
              </w:rPr>
              <w:t>经办人：                              年     月      日</w:t>
            </w:r>
          </w:p>
        </w:tc>
      </w:tr>
    </w:tbl>
    <w:p>
      <w:pPr>
        <w:pStyle w:val="26"/>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73" w:hRule="atLeast"/>
        </w:trPr>
        <w:tc>
          <w:tcPr>
            <w:tcW w:w="9236" w:type="dxa"/>
            <w:noWrap w:val="0"/>
            <w:vAlign w:val="top"/>
          </w:tcPr>
          <w:p>
            <w:pPr>
              <w:spacing w:line="480" w:lineRule="exact"/>
              <w:jc w:val="center"/>
              <w:rPr>
                <w:sz w:val="24"/>
              </w:rPr>
            </w:pPr>
            <w:r>
              <w:rPr>
                <w:sz w:val="24"/>
              </w:rPr>
              <w:t>注        释</w:t>
            </w:r>
          </w:p>
          <w:p>
            <w:pPr>
              <w:snapToGrid w:val="0"/>
              <w:spacing w:line="480" w:lineRule="exact"/>
              <w:rPr>
                <w:sz w:val="24"/>
              </w:rPr>
            </w:pPr>
            <w:r>
              <w:rPr>
                <w:sz w:val="24"/>
              </w:rPr>
              <w:t xml:space="preserve">    一、本报告表应附以下附件、附图：</w:t>
            </w:r>
          </w:p>
          <w:p>
            <w:pPr>
              <w:spacing w:line="480" w:lineRule="exact"/>
              <w:ind w:firstLine="480" w:firstLineChars="200"/>
              <w:rPr>
                <w:sz w:val="24"/>
              </w:rPr>
            </w:pPr>
            <w:r>
              <w:rPr>
                <w:sz w:val="24"/>
              </w:rPr>
              <w:t>附件1国网河北省电力公司关于保定西北郊热电送出工程可行性研究报告的批复（冀电发展[2015]326号）；</w:t>
            </w:r>
          </w:p>
          <w:p>
            <w:pPr>
              <w:spacing w:line="480" w:lineRule="exact"/>
              <w:ind w:firstLine="480" w:firstLineChars="200"/>
              <w:rPr>
                <w:sz w:val="24"/>
              </w:rPr>
            </w:pPr>
            <w:r>
              <w:rPr>
                <w:sz w:val="24"/>
              </w:rPr>
              <w:t>附件2满城区城乡规划管理局关于深能保定西北郊热电厂送出线路工程的意见；</w:t>
            </w:r>
          </w:p>
          <w:p>
            <w:pPr>
              <w:spacing w:line="480" w:lineRule="exact"/>
              <w:ind w:firstLine="480" w:firstLineChars="200"/>
              <w:rPr>
                <w:sz w:val="24"/>
              </w:rPr>
            </w:pPr>
            <w:r>
              <w:rPr>
                <w:sz w:val="24"/>
              </w:rPr>
              <w:t xml:space="preserve">附件3保定市满城区人民武装部关于保定西北郊电厂送出线路路径方案征求意见的函； </w:t>
            </w:r>
          </w:p>
          <w:p>
            <w:pPr>
              <w:spacing w:line="480" w:lineRule="exact"/>
              <w:ind w:firstLine="480" w:firstLineChars="200"/>
              <w:rPr>
                <w:sz w:val="24"/>
              </w:rPr>
            </w:pPr>
            <w:r>
              <w:rPr>
                <w:sz w:val="24"/>
              </w:rPr>
              <w:t xml:space="preserve">附件4保定市满城区文物勘探队关于保定西北郊电厂送出线路路径方案征求意见的函； </w:t>
            </w:r>
          </w:p>
          <w:p>
            <w:pPr>
              <w:spacing w:line="480" w:lineRule="exact"/>
              <w:ind w:firstLine="480" w:firstLineChars="200"/>
              <w:rPr>
                <w:sz w:val="24"/>
              </w:rPr>
            </w:pPr>
            <w:r>
              <w:rPr>
                <w:sz w:val="24"/>
              </w:rPr>
              <w:t>附件5保定市南水北调工程建设委员会办公室关于保定西北郊电厂送出线路路径方案征求意见的复函（保市调水办函[2015]63号）；</w:t>
            </w:r>
          </w:p>
          <w:p>
            <w:pPr>
              <w:spacing w:line="480" w:lineRule="exact"/>
              <w:ind w:firstLine="480" w:firstLineChars="200"/>
              <w:rPr>
                <w:sz w:val="24"/>
              </w:rPr>
            </w:pPr>
            <w:r>
              <w:rPr>
                <w:sz w:val="24"/>
              </w:rPr>
              <w:t>附件6保定市国土资源局关于保定西北郊电厂送出线路路径方案不压覆矿产的证明。</w:t>
            </w:r>
          </w:p>
          <w:p>
            <w:pPr>
              <w:snapToGrid w:val="0"/>
              <w:spacing w:line="480" w:lineRule="exact"/>
              <w:ind w:firstLine="480" w:firstLineChars="200"/>
              <w:jc w:val="left"/>
              <w:rPr>
                <w:sz w:val="24"/>
              </w:rPr>
            </w:pPr>
            <w:r>
              <w:rPr>
                <w:sz w:val="24"/>
              </w:rPr>
              <w:t>附图1 线路路径图</w:t>
            </w:r>
          </w:p>
          <w:p>
            <w:pPr>
              <w:snapToGrid w:val="0"/>
              <w:spacing w:line="480" w:lineRule="exact"/>
              <w:ind w:firstLine="480" w:firstLineChars="200"/>
              <w:jc w:val="left"/>
              <w:rPr>
                <w:sz w:val="24"/>
              </w:rPr>
            </w:pPr>
            <w:r>
              <w:rPr>
                <w:sz w:val="24"/>
              </w:rPr>
              <w:t>附图2 监测布点图</w:t>
            </w:r>
          </w:p>
          <w:p>
            <w:pPr>
              <w:snapToGrid w:val="0"/>
              <w:spacing w:line="480" w:lineRule="exact"/>
              <w:ind w:firstLine="480" w:firstLineChars="200"/>
              <w:jc w:val="left"/>
              <w:rPr>
                <w:sz w:val="24"/>
              </w:rPr>
            </w:pPr>
            <w:r>
              <w:rPr>
                <w:sz w:val="24"/>
              </w:rPr>
              <w:t>附图3 杆塔图</w:t>
            </w:r>
          </w:p>
          <w:p>
            <w:pPr>
              <w:snapToGrid w:val="0"/>
              <w:spacing w:line="480" w:lineRule="exact"/>
              <w:ind w:firstLine="480" w:firstLineChars="200"/>
              <w:jc w:val="left"/>
              <w:rPr>
                <w:sz w:val="24"/>
              </w:rPr>
            </w:pPr>
            <w:r>
              <w:rPr>
                <w:sz w:val="24"/>
              </w:rPr>
              <w:t>附图4 预测杆塔图</w:t>
            </w:r>
          </w:p>
          <w:p>
            <w:pPr>
              <w:snapToGrid w:val="0"/>
              <w:spacing w:line="480" w:lineRule="exact"/>
              <w:ind w:firstLine="480" w:firstLineChars="200"/>
              <w:rPr>
                <w:sz w:val="24"/>
              </w:rPr>
            </w:pPr>
            <w:r>
              <w:rPr>
                <w:rFonts w:hint="eastAsia"/>
                <w:sz w:val="24"/>
              </w:rPr>
              <w:t>附图5 现场照片</w:t>
            </w:r>
          </w:p>
          <w:p>
            <w:pPr>
              <w:snapToGrid w:val="0"/>
              <w:spacing w:line="480" w:lineRule="exact"/>
              <w:ind w:firstLine="480" w:firstLineChars="200"/>
              <w:rPr>
                <w:sz w:val="24"/>
              </w:rPr>
            </w:pPr>
          </w:p>
          <w:p>
            <w:pPr>
              <w:snapToGrid w:val="0"/>
              <w:spacing w:line="480" w:lineRule="exact"/>
              <w:ind w:firstLine="480" w:firstLineChars="200"/>
              <w:rPr>
                <w:sz w:val="24"/>
              </w:rPr>
            </w:pPr>
            <w:r>
              <w:rPr>
                <w:sz w:val="24"/>
              </w:rPr>
              <w:t>二、如果本报告表不能说明项目产生的污染及对环境造成的影响，应进行专项评价。根据建设项目的特点和当地环境特征，应选下列1—2项进行专项评价。</w:t>
            </w:r>
          </w:p>
          <w:p>
            <w:pPr>
              <w:snapToGrid w:val="0"/>
              <w:spacing w:line="480" w:lineRule="exact"/>
              <w:rPr>
                <w:sz w:val="24"/>
              </w:rPr>
            </w:pPr>
            <w:r>
              <w:rPr>
                <w:sz w:val="24"/>
              </w:rPr>
              <w:t xml:space="preserve">    1．大气环境影响专项评价</w:t>
            </w:r>
          </w:p>
          <w:p>
            <w:pPr>
              <w:snapToGrid w:val="0"/>
              <w:spacing w:line="480" w:lineRule="exact"/>
              <w:rPr>
                <w:sz w:val="24"/>
              </w:rPr>
            </w:pPr>
            <w:r>
              <w:rPr>
                <w:sz w:val="24"/>
              </w:rPr>
              <w:t xml:space="preserve">    2．水环境影响专项评价(包括地表水和地下水)</w:t>
            </w:r>
          </w:p>
          <w:p>
            <w:pPr>
              <w:snapToGrid w:val="0"/>
              <w:spacing w:line="480" w:lineRule="exact"/>
              <w:rPr>
                <w:sz w:val="24"/>
              </w:rPr>
            </w:pPr>
            <w:r>
              <w:rPr>
                <w:sz w:val="24"/>
              </w:rPr>
              <w:t xml:space="preserve">    3．生态影响专项评价</w:t>
            </w:r>
          </w:p>
          <w:p>
            <w:pPr>
              <w:snapToGrid w:val="0"/>
              <w:spacing w:line="480" w:lineRule="exact"/>
              <w:rPr>
                <w:sz w:val="24"/>
              </w:rPr>
            </w:pPr>
            <w:r>
              <w:rPr>
                <w:sz w:val="24"/>
              </w:rPr>
              <w:t xml:space="preserve">    4．声环境专项评价</w:t>
            </w:r>
          </w:p>
          <w:p>
            <w:pPr>
              <w:snapToGrid w:val="0"/>
              <w:spacing w:line="480" w:lineRule="exact"/>
              <w:rPr>
                <w:sz w:val="24"/>
              </w:rPr>
            </w:pPr>
            <w:r>
              <w:rPr>
                <w:sz w:val="24"/>
              </w:rPr>
              <w:t xml:space="preserve">    5．土壤影响专项评价</w:t>
            </w:r>
          </w:p>
          <w:p>
            <w:pPr>
              <w:snapToGrid w:val="0"/>
              <w:spacing w:line="480" w:lineRule="exact"/>
              <w:rPr>
                <w:sz w:val="24"/>
              </w:rPr>
            </w:pPr>
            <w:r>
              <w:rPr>
                <w:sz w:val="24"/>
              </w:rPr>
              <w:t xml:space="preserve">    6．固体废物影响专项评价</w:t>
            </w:r>
          </w:p>
          <w:p>
            <w:pPr>
              <w:snapToGrid w:val="0"/>
              <w:spacing w:line="480" w:lineRule="exact"/>
              <w:ind w:firstLine="480"/>
              <w:rPr>
                <w:sz w:val="24"/>
              </w:rPr>
            </w:pPr>
            <w:r>
              <w:rPr>
                <w:sz w:val="24"/>
              </w:rPr>
              <w:t>以上专项评价未包括的可另列专项，专项评价按照《环境影响评价技术导则》中的要求进行。</w:t>
            </w:r>
          </w:p>
        </w:tc>
      </w:tr>
    </w:tbl>
    <w:p>
      <w:pPr>
        <w:pStyle w:val="26"/>
        <w:sectPr>
          <w:footerReference r:id="rId5" w:type="default"/>
          <w:pgSz w:w="11906" w:h="16838"/>
          <w:pgMar w:top="1440" w:right="1800" w:bottom="1440" w:left="1800" w:header="851" w:footer="992" w:gutter="0"/>
          <w:pgNumType w:start="1"/>
          <w:cols w:space="720" w:num="1"/>
          <w:docGrid w:type="lines" w:linePitch="312" w:charSpace="0"/>
        </w:sectPr>
      </w:pPr>
    </w:p>
    <w:p>
      <w:pPr>
        <w:sectPr>
          <w:footerReference r:id="rId6" w:type="default"/>
          <w:pgSz w:w="16839" w:h="11907" w:orient="landscape"/>
          <w:pgMar w:top="1800" w:right="1440" w:bottom="1800" w:left="1440" w:header="851" w:footer="992" w:gutter="0"/>
          <w:cols w:space="425" w:num="1"/>
          <w:docGrid w:type="lines" w:linePitch="312" w:charSpace="0"/>
        </w:sectPr>
      </w:pPr>
      <w:r>
        <w:drawing>
          <wp:anchor distT="0" distB="0" distL="114300" distR="114300" simplePos="0" relativeHeight="251701248" behindDoc="1" locked="0" layoutInCell="1" allowOverlap="1">
            <wp:simplePos x="0" y="0"/>
            <wp:positionH relativeFrom="column">
              <wp:posOffset>134620</wp:posOffset>
            </wp:positionH>
            <wp:positionV relativeFrom="paragraph">
              <wp:posOffset>-73025</wp:posOffset>
            </wp:positionV>
            <wp:extent cx="8755380" cy="4746625"/>
            <wp:effectExtent l="12700" t="12700" r="20320" b="15875"/>
            <wp:wrapNone/>
            <wp:docPr id="41" name="图片 90" descr="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0" descr="附图1"/>
                    <pic:cNvPicPr>
                      <a:picLocks noChangeAspect="1"/>
                    </pic:cNvPicPr>
                  </pic:nvPicPr>
                  <pic:blipFill>
                    <a:blip r:embed="rId56"/>
                    <a:srcRect l="2185" t="31754" r="2814" b="31831"/>
                    <a:stretch>
                      <a:fillRect/>
                    </a:stretch>
                  </pic:blipFill>
                  <pic:spPr>
                    <a:xfrm>
                      <a:off x="0" y="0"/>
                      <a:ext cx="8755380" cy="4746625"/>
                    </a:xfrm>
                    <a:prstGeom prst="rect">
                      <a:avLst/>
                    </a:prstGeom>
                    <a:noFill/>
                    <a:ln w="6350" cap="flat" cmpd="sng">
                      <a:solidFill>
                        <a:srgbClr val="000000"/>
                      </a:solidFill>
                      <a:prstDash val="solid"/>
                      <a:miter/>
                      <a:headEnd type="none" w="med" len="med"/>
                      <a:tailEnd type="none" w="med" len="med"/>
                    </a:ln>
                  </pic:spPr>
                </pic:pic>
              </a:graphicData>
            </a:graphic>
          </wp:anchor>
        </w:drawing>
      </w:r>
      <w:r>
        <mc:AlternateContent>
          <mc:Choice Requires="wps">
            <w:drawing>
              <wp:anchor distT="0" distB="0" distL="114300" distR="114300" simplePos="0" relativeHeight="251694080" behindDoc="0" locked="0" layoutInCell="1" allowOverlap="1">
                <wp:simplePos x="0" y="0"/>
                <wp:positionH relativeFrom="column">
                  <wp:posOffset>7456805</wp:posOffset>
                </wp:positionH>
                <wp:positionV relativeFrom="paragraph">
                  <wp:posOffset>4290695</wp:posOffset>
                </wp:positionV>
                <wp:extent cx="1093470" cy="94615"/>
                <wp:effectExtent l="6350" t="6350" r="17780" b="26035"/>
                <wp:wrapNone/>
                <wp:docPr id="34" name="矩形 82"/>
                <wp:cNvGraphicFramePr/>
                <a:graphic xmlns:a="http://schemas.openxmlformats.org/drawingml/2006/main">
                  <a:graphicData uri="http://schemas.microsoft.com/office/word/2010/wordprocessingShape">
                    <wps:wsp>
                      <wps:cNvSpPr/>
                      <wps:spPr>
                        <a:xfrm>
                          <a:off x="0" y="0"/>
                          <a:ext cx="1093470" cy="94615"/>
                        </a:xfrm>
                        <a:prstGeom prst="rect">
                          <a:avLst/>
                        </a:prstGeom>
                        <a:solidFill>
                          <a:srgbClr val="FF00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矩形 82" o:spid="_x0000_s1026" o:spt="1" style="position:absolute;left:0pt;margin-left:587.15pt;margin-top:337.85pt;height:7.45pt;width:86.1pt;z-index:251694080;mso-width-relative:page;mso-height-relative:page;" fillcolor="#FF0000" filled="t" stroked="t" coordsize="21600,21600" o:gfxdata="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JltRMtoA&#10;AAANAQAADwAAAAAAAAABACAAAAA4AAAAZHJzL2Rvd25yZXYueG1sUEsBAhQAFAAAAAgAh07iQOV/&#10;dckHAgAALQQAAA4AAAAAAAAAAQAgAAAAPwEAAGRycy9lMm9Eb2MueG1sUEsFBgAAAAAGAAYAWQEA&#10;ALg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7672705</wp:posOffset>
                </wp:positionH>
                <wp:positionV relativeFrom="paragraph">
                  <wp:posOffset>4101465</wp:posOffset>
                </wp:positionV>
                <wp:extent cx="567690" cy="0"/>
                <wp:effectExtent l="0" t="6350" r="0" b="6350"/>
                <wp:wrapNone/>
                <wp:docPr id="33" name="自选图形 81"/>
                <wp:cNvGraphicFramePr/>
                <a:graphic xmlns:a="http://schemas.openxmlformats.org/drawingml/2006/main">
                  <a:graphicData uri="http://schemas.microsoft.com/office/word/2010/wordprocessingShape">
                    <wps:wsp>
                      <wps:cNvCnPr/>
                      <wps:spPr>
                        <a:xfrm>
                          <a:off x="0" y="0"/>
                          <a:ext cx="567690" cy="0"/>
                        </a:xfrm>
                        <a:prstGeom prst="straightConnector1">
                          <a:avLst/>
                        </a:prstGeom>
                        <a:ln w="12700" cap="flat" cmpd="sng">
                          <a:solidFill>
                            <a:srgbClr val="FF00FF"/>
                          </a:solidFill>
                          <a:prstDash val="dash"/>
                          <a:headEnd type="none" w="med" len="med"/>
                          <a:tailEnd type="none" w="med" len="med"/>
                        </a:ln>
                      </wps:spPr>
                      <wps:bodyPr/>
                    </wps:wsp>
                  </a:graphicData>
                </a:graphic>
              </wp:anchor>
            </w:drawing>
          </mc:Choice>
          <mc:Fallback>
            <w:pict>
              <v:shape id="自选图形 81" o:spid="_x0000_s1026" o:spt="32" type="#_x0000_t32" style="position:absolute;left:0pt;margin-left:604.15pt;margin-top:322.95pt;height:0pt;width:44.7pt;z-index:251693056;mso-width-relative:page;mso-height-relative:page;" filled="f" stroked="t" coordsize="21600,21600" o:gfxdata="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u8QaktgAAAANAQAADwAAAAAAAAAB&#10;ACAAAAA4AAAAZHJzL2Rvd25yZXYueG1sUEsBAhQAFAAAAAgAh07iQBox2E36AQAA5AMAAA4AAAAA&#10;AAAAAQAgAAAAPQEAAGRycy9lMm9Eb2MueG1sUEsFBgAAAAAGAAYAWQEAAKkFAAAAAA==&#10;">
                <v:fill on="f" focussize="0,0"/>
                <v:stroke weight="1pt" color="#FF00FF" joinstyle="round" dashstyle="dash"/>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7456805</wp:posOffset>
                </wp:positionH>
                <wp:positionV relativeFrom="paragraph">
                  <wp:posOffset>4290695</wp:posOffset>
                </wp:positionV>
                <wp:extent cx="541655" cy="94615"/>
                <wp:effectExtent l="6350" t="6350" r="10795" b="26035"/>
                <wp:wrapNone/>
                <wp:docPr id="35" name="矩形 83"/>
                <wp:cNvGraphicFramePr/>
                <a:graphic xmlns:a="http://schemas.openxmlformats.org/drawingml/2006/main">
                  <a:graphicData uri="http://schemas.microsoft.com/office/word/2010/wordprocessingShape">
                    <wps:wsp>
                      <wps:cNvSpPr/>
                      <wps:spPr>
                        <a:xfrm>
                          <a:off x="0" y="0"/>
                          <a:ext cx="541655" cy="94615"/>
                        </a:xfrm>
                        <a:prstGeom prst="rect">
                          <a:avLst/>
                        </a:prstGeom>
                        <a:solidFill>
                          <a:srgbClr val="FFFF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矩形 83" o:spid="_x0000_s1026" o:spt="1" style="position:absolute;left:0pt;margin-left:587.15pt;margin-top:337.85pt;height:7.45pt;width:42.65pt;z-index:251695104;mso-width-relative:page;mso-height-relative:page;" fillcolor="#FFFF00" filled="t" stroked="t" coordsize="21600,21600" o:gfxdata="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fHp/&#10;2wAAAA0BAAAPAAAAAAAAAAEAIAAAADgAAABkcnMvZG93bnJldi54bWxQSwECFAAUAAAACACHTuJA&#10;MhRmZAgCAAAsBAAADgAAAAAAAAABACAAAABAAQAAZHJzL2Uyb0RvYy54bWxQSwUGAAAAAAYABgBZ&#10;AQAAug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6863080</wp:posOffset>
                </wp:positionH>
                <wp:positionV relativeFrom="paragraph">
                  <wp:posOffset>3754755</wp:posOffset>
                </wp:positionV>
                <wp:extent cx="2028825" cy="909955"/>
                <wp:effectExtent l="6350" t="6350" r="22225" b="23495"/>
                <wp:wrapNone/>
                <wp:docPr id="32" name="文本框 80"/>
                <wp:cNvGraphicFramePr/>
                <a:graphic xmlns:a="http://schemas.openxmlformats.org/drawingml/2006/main">
                  <a:graphicData uri="http://schemas.microsoft.com/office/word/2010/wordprocessingShape">
                    <wps:wsp>
                      <wps:cNvSpPr txBox="1"/>
                      <wps:spPr>
                        <a:xfrm>
                          <a:off x="0" y="0"/>
                          <a:ext cx="2028825" cy="909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图例</w:t>
                            </w:r>
                          </w:p>
                          <w:p>
                            <w:pPr>
                              <w:rPr>
                                <w:rFonts w:hint="eastAsia"/>
                              </w:rPr>
                            </w:pPr>
                            <w:r>
                              <w:rPr>
                                <w:rFonts w:hint="eastAsia"/>
                              </w:rPr>
                              <w:t>本项目线路</w:t>
                            </w:r>
                          </w:p>
                          <w:p>
                            <w:pPr>
                              <w:rPr>
                                <w:rFonts w:hint="eastAsia"/>
                              </w:rPr>
                            </w:pPr>
                            <w:r>
                              <w:rPr>
                                <w:rFonts w:hint="eastAsia"/>
                              </w:rPr>
                              <w:t>比例尺</w:t>
                            </w:r>
                          </w:p>
                          <w:p>
                            <w:r>
                              <w:rPr>
                                <w:rFonts w:hint="eastAsia"/>
                              </w:rPr>
                              <w:t xml:space="preserve">       0      0.5km   1km</w:t>
                            </w:r>
                          </w:p>
                        </w:txbxContent>
                      </wps:txbx>
                      <wps:bodyPr wrap="square" upright="1"/>
                    </wps:wsp>
                  </a:graphicData>
                </a:graphic>
              </wp:anchor>
            </w:drawing>
          </mc:Choice>
          <mc:Fallback>
            <w:pict>
              <v:shape id="文本框 80" o:spid="_x0000_s1026" o:spt="202" type="#_x0000_t202" style="position:absolute;left:0pt;margin-left:540.4pt;margin-top:295.65pt;height:71.65pt;width:159.75pt;z-index:251692032;mso-width-relative:page;mso-height-relative:page;" fillcolor="#FFFFFF" filled="t" stroked="t" coordsize="21600,21600" o:gfxdata="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hbQi8toAAAANAQAADwAAAAAAAAABACAAAAA4AAAAZHJzL2Rvd25yZXYueG1sUEsBAhQA&#10;FAAAAAgAh07iQH40qa4TAgAARgQAAA4AAAAAAAAAAQAgAAAAPwEAAGRycy9lMm9Eb2MueG1sUEsF&#10;BgAAAAAGAAYAWQEAAMQFAAAAAA==&#10;">
                <v:fill on="t" focussize="0,0"/>
                <v:stroke color="#000000" joinstyle="miter"/>
                <v:imagedata o:title=""/>
                <o:lock v:ext="edit" aspectratio="f"/>
                <v:textbox>
                  <w:txbxContent>
                    <w:p>
                      <w:pPr>
                        <w:rPr>
                          <w:rFonts w:hint="eastAsia"/>
                        </w:rPr>
                      </w:pPr>
                      <w:r>
                        <w:rPr>
                          <w:rFonts w:hint="eastAsia"/>
                        </w:rPr>
                        <w:t>图例</w:t>
                      </w:r>
                    </w:p>
                    <w:p>
                      <w:pPr>
                        <w:rPr>
                          <w:rFonts w:hint="eastAsia"/>
                        </w:rPr>
                      </w:pPr>
                      <w:r>
                        <w:rPr>
                          <w:rFonts w:hint="eastAsia"/>
                        </w:rPr>
                        <w:t>本项目线路</w:t>
                      </w:r>
                    </w:p>
                    <w:p>
                      <w:pPr>
                        <w:rPr>
                          <w:rFonts w:hint="eastAsia"/>
                        </w:rPr>
                      </w:pPr>
                      <w:r>
                        <w:rPr>
                          <w:rFonts w:hint="eastAsia"/>
                        </w:rPr>
                        <w:t>比例尺</w:t>
                      </w:r>
                    </w:p>
                    <w:p>
                      <w:r>
                        <w:rPr>
                          <w:rFonts w:hint="eastAsia"/>
                        </w:rPr>
                        <w:t xml:space="preserve">       0      0.5km   1km</w:t>
                      </w:r>
                    </w:p>
                  </w:txbxContent>
                </v:textbox>
              </v:shape>
            </w:pict>
          </mc:Fallback>
        </mc:AlternateContent>
      </w:r>
      <w:r>
        <w:drawing>
          <wp:anchor distT="0" distB="0" distL="114300" distR="114300" simplePos="0" relativeHeight="251691008" behindDoc="0" locked="0" layoutInCell="1" allowOverlap="1">
            <wp:simplePos x="0" y="0"/>
            <wp:positionH relativeFrom="column">
              <wp:posOffset>8550275</wp:posOffset>
            </wp:positionH>
            <wp:positionV relativeFrom="paragraph">
              <wp:posOffset>-60325</wp:posOffset>
            </wp:positionV>
            <wp:extent cx="341630" cy="633095"/>
            <wp:effectExtent l="0" t="0" r="13970" b="1905"/>
            <wp:wrapNone/>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57"/>
                    <a:stretch>
                      <a:fillRect/>
                    </a:stretch>
                  </pic:blipFill>
                  <pic:spPr>
                    <a:xfrm>
                      <a:off x="0" y="0"/>
                      <a:ext cx="341630" cy="633095"/>
                    </a:xfrm>
                    <a:prstGeom prst="rect">
                      <a:avLst/>
                    </a:prstGeom>
                    <a:noFill/>
                    <a:ln>
                      <a:noFill/>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3318510</wp:posOffset>
                </wp:positionH>
                <wp:positionV relativeFrom="paragraph">
                  <wp:posOffset>4785360</wp:posOffset>
                </wp:positionV>
                <wp:extent cx="4354195" cy="552450"/>
                <wp:effectExtent l="0" t="0" r="0" b="0"/>
                <wp:wrapNone/>
                <wp:docPr id="1" name="文本框 4"/>
                <wp:cNvGraphicFramePr/>
                <a:graphic xmlns:a="http://schemas.openxmlformats.org/drawingml/2006/main">
                  <a:graphicData uri="http://schemas.microsoft.com/office/word/2010/wordprocessingShape">
                    <wps:wsp>
                      <wps:cNvSpPr txBox="1"/>
                      <wps:spPr>
                        <a:xfrm>
                          <a:off x="0" y="0"/>
                          <a:ext cx="4354195" cy="552450"/>
                        </a:xfrm>
                        <a:prstGeom prst="rect">
                          <a:avLst/>
                        </a:prstGeom>
                        <a:noFill/>
                        <a:ln>
                          <a:noFill/>
                        </a:ln>
                      </wps:spPr>
                      <wps:txbx>
                        <w:txbxContent>
                          <w:p>
                            <w:pPr>
                              <w:rPr>
                                <w:sz w:val="28"/>
                                <w:szCs w:val="28"/>
                              </w:rPr>
                            </w:pPr>
                            <w:r>
                              <w:rPr>
                                <w:rFonts w:hint="eastAsia"/>
                                <w:sz w:val="28"/>
                                <w:szCs w:val="28"/>
                              </w:rPr>
                              <w:t>附图1  线路路径图</w:t>
                            </w:r>
                          </w:p>
                        </w:txbxContent>
                      </wps:txbx>
                      <wps:bodyPr wrap="square" upright="1"/>
                    </wps:wsp>
                  </a:graphicData>
                </a:graphic>
              </wp:anchor>
            </w:drawing>
          </mc:Choice>
          <mc:Fallback>
            <w:pict>
              <v:shape id="文本框 4" o:spid="_x0000_s1026" o:spt="202" type="#_x0000_t202" style="position:absolute;left:0pt;margin-left:261.3pt;margin-top:376.8pt;height:43.5pt;width:342.85pt;z-index:251660288;mso-width-relative:page;mso-height-relative:page;" filled="f" stroked="f" coordsize="21600,21600" o:gfxdata="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&#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CwgeCb2QAAAAwBAAAPAAAAAAAAAAEAIAAAADgAAABk&#10;cnMvZG93bnJldi54bWxQSwECFAAUAAAACACHTuJAd2X9B7YBAABcAwAADgAAAAAAAAABACAAAAA+&#10;AQAAZHJzL2Uyb0RvYy54bWxQSwUGAAAAAAYABgBZAQAAZgUAAAAA&#10;">
                <v:fill on="f" focussize="0,0"/>
                <v:stroke on="f"/>
                <v:imagedata o:title=""/>
                <o:lock v:ext="edit" aspectratio="f"/>
                <v:textbox>
                  <w:txbxContent>
                    <w:p>
                      <w:pPr>
                        <w:rPr>
                          <w:sz w:val="28"/>
                          <w:szCs w:val="28"/>
                        </w:rPr>
                      </w:pPr>
                      <w:r>
                        <w:rPr>
                          <w:rFonts w:hint="eastAsia"/>
                          <w:sz w:val="28"/>
                          <w:szCs w:val="28"/>
                        </w:rPr>
                        <w:t>附图1  线路路径图</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10995025</wp:posOffset>
                </wp:positionH>
                <wp:positionV relativeFrom="paragraph">
                  <wp:posOffset>7626985</wp:posOffset>
                </wp:positionV>
                <wp:extent cx="323215" cy="60960"/>
                <wp:effectExtent l="6350" t="6350" r="26035" b="8890"/>
                <wp:wrapNone/>
                <wp:docPr id="7" name="矩形 51"/>
                <wp:cNvGraphicFramePr/>
                <a:graphic xmlns:a="http://schemas.openxmlformats.org/drawingml/2006/main">
                  <a:graphicData uri="http://schemas.microsoft.com/office/word/2010/wordprocessingShape">
                    <wps:wsp>
                      <wps:cNvSpPr/>
                      <wps:spPr>
                        <a:xfrm>
                          <a:off x="0" y="0"/>
                          <a:ext cx="323215" cy="60960"/>
                        </a:xfrm>
                        <a:prstGeom prst="rect">
                          <a:avLst/>
                        </a:prstGeom>
                        <a:solidFill>
                          <a:srgbClr val="FF00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矩形 51" o:spid="_x0000_s1026" o:spt="1" style="position:absolute;left:0pt;margin-left:865.75pt;margin-top:600.55pt;height:4.8pt;width:25.45pt;z-index:251666432;mso-width-relative:page;mso-height-relative:page;" fillcolor="#FF0000" filled="t" stroked="t" coordsize="21600,21600" o:gfxdata="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3NXjn2wAA&#10;AA8BAAAPAAAAAAAAAAEAIAAAADgAAABkcnMvZG93bnJldi54bWxQSwECFAAUAAAACACHTuJAP6xv&#10;DAUCAAArBAAADgAAAAAAAAABACAAAABAAQAAZHJzL2Uyb0RvYy54bWxQSwUGAAAAAAYABgBZAQAA&#10;t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10671810</wp:posOffset>
                </wp:positionH>
                <wp:positionV relativeFrom="paragraph">
                  <wp:posOffset>7626985</wp:posOffset>
                </wp:positionV>
                <wp:extent cx="323215" cy="60960"/>
                <wp:effectExtent l="6350" t="6350" r="26035" b="8890"/>
                <wp:wrapNone/>
                <wp:docPr id="8" name="矩形 52"/>
                <wp:cNvGraphicFramePr/>
                <a:graphic xmlns:a="http://schemas.openxmlformats.org/drawingml/2006/main">
                  <a:graphicData uri="http://schemas.microsoft.com/office/word/2010/wordprocessingShape">
                    <wps:wsp>
                      <wps:cNvSpPr/>
                      <wps:spPr>
                        <a:xfrm>
                          <a:off x="0" y="0"/>
                          <a:ext cx="323215" cy="60960"/>
                        </a:xfrm>
                        <a:prstGeom prst="rect">
                          <a:avLst/>
                        </a:prstGeom>
                        <a:solidFill>
                          <a:srgbClr val="FFFF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矩形 52" o:spid="_x0000_s1026" o:spt="1" style="position:absolute;left:0pt;margin-left:840.3pt;margin-top:600.55pt;height:4.8pt;width:25.45pt;z-index:251667456;mso-width-relative:page;mso-height-relative:page;" fillcolor="#FFFF00" filled="t" stroked="t" coordsize="21600,21600" o:gfxdata="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5XyxI&#10;3AAAAA8BAAAPAAAAAAAAAAEAIAAAADgAAABkcnMvZG93bnJldi54bWxQSwECFAAUAAAACACHTuJA&#10;0HCNyQcCAAArBAAADgAAAAAAAAABACAAAABBAQAAZHJzL2Uyb0RvYy54bWxQSwUGAAAAAAYABgBZ&#10;AQAAug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10114915</wp:posOffset>
                </wp:positionH>
                <wp:positionV relativeFrom="paragraph">
                  <wp:posOffset>7171055</wp:posOffset>
                </wp:positionV>
                <wp:extent cx="393700" cy="13970"/>
                <wp:effectExtent l="635" t="9525" r="12065" b="14605"/>
                <wp:wrapNone/>
                <wp:docPr id="6" name="自选图形 50"/>
                <wp:cNvGraphicFramePr/>
                <a:graphic xmlns:a="http://schemas.openxmlformats.org/drawingml/2006/main">
                  <a:graphicData uri="http://schemas.microsoft.com/office/word/2010/wordprocessingShape">
                    <wps:wsp>
                      <wps:cNvCnPr/>
                      <wps:spPr>
                        <a:xfrm flipV="1">
                          <a:off x="0" y="0"/>
                          <a:ext cx="393700" cy="13970"/>
                        </a:xfrm>
                        <a:prstGeom prst="straightConnector1">
                          <a:avLst/>
                        </a:prstGeom>
                        <a:ln w="19050" cap="flat" cmpd="sng">
                          <a:solidFill>
                            <a:srgbClr val="004F8A"/>
                          </a:solidFill>
                          <a:prstDash val="solid"/>
                          <a:headEnd type="none" w="med" len="med"/>
                          <a:tailEnd type="none" w="med" len="med"/>
                        </a:ln>
                      </wps:spPr>
                      <wps:bodyPr/>
                    </wps:wsp>
                  </a:graphicData>
                </a:graphic>
              </wp:anchor>
            </w:drawing>
          </mc:Choice>
          <mc:Fallback>
            <w:pict>
              <v:shape id="自选图形 50" o:spid="_x0000_s1026" o:spt="32" type="#_x0000_t32" style="position:absolute;left:0pt;flip:y;margin-left:796.45pt;margin-top:564.65pt;height:1.1pt;width:31pt;z-index:251665408;mso-width-relative:page;mso-height-relative:page;" filled="f" stroked="t" coordsize="21600,21600" o:gfxdata="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Favx73aAAAADwEA&#10;AA8AAAAAAAAAAQAgAAAAOAAAAGRycy9kb3ducmV2LnhtbFBLAQIUABQAAAAIAIdO4kDbB3cDAgIA&#10;APIDAAAOAAAAAAAAAAEAIAAAAD8BAABkcnMvZTJvRG9jLnhtbFBLBQYAAAAABgAGAFkBAACzBQAA&#10;AAA=&#10;">
                <v:fill on="f" focussize="0,0"/>
                <v:stroke weight="1.5pt" color="#004F8A"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10012680</wp:posOffset>
                </wp:positionH>
                <wp:positionV relativeFrom="paragraph">
                  <wp:posOffset>6822440</wp:posOffset>
                </wp:positionV>
                <wp:extent cx="2579370" cy="1134110"/>
                <wp:effectExtent l="6350" t="6350" r="30480" b="27940"/>
                <wp:wrapNone/>
                <wp:docPr id="2" name="文本框 6"/>
                <wp:cNvGraphicFramePr/>
                <a:graphic xmlns:a="http://schemas.openxmlformats.org/drawingml/2006/main">
                  <a:graphicData uri="http://schemas.microsoft.com/office/word/2010/wordprocessingShape">
                    <wps:wsp>
                      <wps:cNvSpPr txBox="1"/>
                      <wps:spPr>
                        <a:xfrm>
                          <a:off x="0" y="0"/>
                          <a:ext cx="2579370" cy="1134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rPr>
                            </w:pPr>
                            <w:r>
                              <w:rPr>
                                <w:rFonts w:hint="eastAsia"/>
                                <w:sz w:val="24"/>
                              </w:rPr>
                              <w:t>图例</w:t>
                            </w:r>
                          </w:p>
                          <w:p>
                            <w:pPr>
                              <w:rPr>
                                <w:rFonts w:hint="eastAsia"/>
                                <w:sz w:val="24"/>
                              </w:rPr>
                            </w:pPr>
                            <w:r>
                              <w:rPr>
                                <w:rFonts w:hint="eastAsia"/>
                                <w:sz w:val="24"/>
                              </w:rPr>
                              <w:t xml:space="preserve">      本项目拟建项目</w:t>
                            </w:r>
                          </w:p>
                          <w:p>
                            <w:pPr>
                              <w:rPr>
                                <w:rFonts w:hint="eastAsia"/>
                                <w:sz w:val="24"/>
                              </w:rPr>
                            </w:pPr>
                            <w:r>
                              <w:rPr>
                                <w:rFonts w:hint="eastAsia"/>
                                <w:sz w:val="24"/>
                              </w:rPr>
                              <w:t>本项目确定方案一为最终方案</w:t>
                            </w:r>
                          </w:p>
                          <w:p>
                            <w:pPr>
                              <w:rPr>
                                <w:rFonts w:hint="eastAsia"/>
                                <w:sz w:val="24"/>
                              </w:rPr>
                            </w:pPr>
                            <w:r>
                              <w:rPr>
                                <w:rFonts w:hint="eastAsia"/>
                                <w:sz w:val="24"/>
                              </w:rPr>
                              <w:t>比例尺</w:t>
                            </w:r>
                          </w:p>
                          <w:p>
                            <w:pPr>
                              <w:rPr>
                                <w:sz w:val="24"/>
                              </w:rPr>
                            </w:pPr>
                            <w:r>
                              <w:rPr>
                                <w:rFonts w:hint="eastAsia"/>
                                <w:sz w:val="24"/>
                              </w:rPr>
                              <w:t xml:space="preserve">       0   1   2km</w:t>
                            </w:r>
                          </w:p>
                        </w:txbxContent>
                      </wps:txbx>
                      <wps:bodyPr wrap="square" upright="1"/>
                    </wps:wsp>
                  </a:graphicData>
                </a:graphic>
              </wp:anchor>
            </w:drawing>
          </mc:Choice>
          <mc:Fallback>
            <w:pict>
              <v:shape id="文本框 6" o:spid="_x0000_s1026" o:spt="202" type="#_x0000_t202" style="position:absolute;left:0pt;margin-left:788.4pt;margin-top:537.2pt;height:89.3pt;width:203.1pt;z-index:251661312;mso-width-relative:page;mso-height-relative:page;" fillcolor="#FFFFFF" filled="t" stroked="t" coordsize="21600,21600" o:gfxdata="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rlQM2tsAAAAPAQAADwAAAAAAAAABACAAAAA4AAAAZHJzL2Rvd25yZXYueG1s&#10;UEsBAhQAFAAAAAgAh07iQKR4G8QYAgAARQQAAA4AAAAAAAAAAQAgAAAAQAEAAGRycy9lMm9Eb2Mu&#10;eG1sUEsFBgAAAAAGAAYAWQEAAMoFAAAAAA==&#10;">
                <v:fill on="t" focussize="0,0"/>
                <v:stroke color="#000000" joinstyle="miter"/>
                <v:imagedata o:title=""/>
                <o:lock v:ext="edit" aspectratio="f"/>
                <v:textbox>
                  <w:txbxContent>
                    <w:p>
                      <w:pPr>
                        <w:rPr>
                          <w:rFonts w:hint="eastAsia"/>
                          <w:sz w:val="24"/>
                        </w:rPr>
                      </w:pPr>
                      <w:r>
                        <w:rPr>
                          <w:rFonts w:hint="eastAsia"/>
                          <w:sz w:val="24"/>
                        </w:rPr>
                        <w:t>图例</w:t>
                      </w:r>
                    </w:p>
                    <w:p>
                      <w:pPr>
                        <w:rPr>
                          <w:rFonts w:hint="eastAsia"/>
                          <w:sz w:val="24"/>
                        </w:rPr>
                      </w:pPr>
                      <w:r>
                        <w:rPr>
                          <w:rFonts w:hint="eastAsia"/>
                          <w:sz w:val="24"/>
                        </w:rPr>
                        <w:t xml:space="preserve">      本项目拟建项目</w:t>
                      </w:r>
                    </w:p>
                    <w:p>
                      <w:pPr>
                        <w:rPr>
                          <w:rFonts w:hint="eastAsia"/>
                          <w:sz w:val="24"/>
                        </w:rPr>
                      </w:pPr>
                      <w:r>
                        <w:rPr>
                          <w:rFonts w:hint="eastAsia"/>
                          <w:sz w:val="24"/>
                        </w:rPr>
                        <w:t>本项目确定方案一为最终方案</w:t>
                      </w:r>
                    </w:p>
                    <w:p>
                      <w:pPr>
                        <w:rPr>
                          <w:rFonts w:hint="eastAsia"/>
                          <w:sz w:val="24"/>
                        </w:rPr>
                      </w:pPr>
                      <w:r>
                        <w:rPr>
                          <w:rFonts w:hint="eastAsia"/>
                          <w:sz w:val="24"/>
                        </w:rPr>
                        <w:t>比例尺</w:t>
                      </w:r>
                    </w:p>
                    <w:p>
                      <w:pPr>
                        <w:rPr>
                          <w:sz w:val="24"/>
                        </w:rPr>
                      </w:pPr>
                      <w:r>
                        <w:rPr>
                          <w:rFonts w:hint="eastAsia"/>
                          <w:sz w:val="24"/>
                        </w:rPr>
                        <w:t xml:space="preserve">       0   1   2km</w:t>
                      </w:r>
                    </w:p>
                  </w:txbxContent>
                </v:textbox>
              </v:shape>
            </w:pict>
          </mc:Fallback>
        </mc:AlternateContent>
      </w:r>
    </w:p>
    <w:p>
      <w:pPr>
        <w:rPr>
          <w:sz w:val="24"/>
        </w:rPr>
      </w:pPr>
      <w:r>
        <w:rPr>
          <w:sz w:val="24"/>
        </w:rPr>
        <w:drawing>
          <wp:anchor distT="0" distB="0" distL="114300" distR="114300" simplePos="0" relativeHeight="251689984" behindDoc="0" locked="0" layoutInCell="1" allowOverlap="1">
            <wp:simplePos x="0" y="0"/>
            <wp:positionH relativeFrom="column">
              <wp:posOffset>8626475</wp:posOffset>
            </wp:positionH>
            <wp:positionV relativeFrom="paragraph">
              <wp:posOffset>-19685</wp:posOffset>
            </wp:positionV>
            <wp:extent cx="341630" cy="633095"/>
            <wp:effectExtent l="0" t="0" r="13970" b="1905"/>
            <wp:wrapNone/>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57"/>
                    <a:stretch>
                      <a:fillRect/>
                    </a:stretch>
                  </pic:blipFill>
                  <pic:spPr>
                    <a:xfrm>
                      <a:off x="0" y="0"/>
                      <a:ext cx="341630" cy="633095"/>
                    </a:xfrm>
                    <a:prstGeom prst="rect">
                      <a:avLst/>
                    </a:prstGeom>
                    <a:noFill/>
                    <a:ln>
                      <a:noFill/>
                    </a:ln>
                  </pic:spPr>
                </pic:pic>
              </a:graphicData>
            </a:graphic>
          </wp:anchor>
        </w:drawing>
      </w:r>
      <w:r>
        <w:rPr>
          <w:sz w:val="24"/>
        </w:rPr>
        <w:drawing>
          <wp:anchor distT="0" distB="0" distL="114300" distR="114300" simplePos="0" relativeHeight="251702272" behindDoc="1" locked="0" layoutInCell="1" allowOverlap="1">
            <wp:simplePos x="0" y="0"/>
            <wp:positionH relativeFrom="column">
              <wp:posOffset>287020</wp:posOffset>
            </wp:positionH>
            <wp:positionV relativeFrom="paragraph">
              <wp:posOffset>-101600</wp:posOffset>
            </wp:positionV>
            <wp:extent cx="8901430" cy="4826000"/>
            <wp:effectExtent l="12700" t="12700" r="26670" b="12700"/>
            <wp:wrapNone/>
            <wp:docPr id="42" name="图片 91" descr="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1" descr="附图1"/>
                    <pic:cNvPicPr>
                      <a:picLocks noChangeAspect="1"/>
                    </pic:cNvPicPr>
                  </pic:nvPicPr>
                  <pic:blipFill>
                    <a:blip r:embed="rId56"/>
                    <a:srcRect l="2185" t="31754" r="2814" b="31831"/>
                    <a:stretch>
                      <a:fillRect/>
                    </a:stretch>
                  </pic:blipFill>
                  <pic:spPr>
                    <a:xfrm>
                      <a:off x="0" y="0"/>
                      <a:ext cx="8901430" cy="4826000"/>
                    </a:xfrm>
                    <a:prstGeom prst="rect">
                      <a:avLst/>
                    </a:prstGeom>
                    <a:noFill/>
                    <a:ln w="6350" cap="flat" cmpd="sng">
                      <a:solidFill>
                        <a:srgbClr val="000000"/>
                      </a:solidFill>
                      <a:prstDash val="solid"/>
                      <a:miter/>
                      <a:headEnd type="none" w="med" len="med"/>
                      <a:tailEnd type="none" w="med" len="med"/>
                    </a:ln>
                  </pic:spPr>
                </pic:pic>
              </a:graphicData>
            </a:graphic>
          </wp:anchor>
        </w:drawing>
      </w:r>
    </w:p>
    <w:p>
      <w:pPr>
        <w:jc w:val="center"/>
      </w:pPr>
      <w:r>
        <w:rPr>
          <w:sz w:val="24"/>
        </w:rPr>
        <mc:AlternateContent>
          <mc:Choice Requires="wps">
            <w:drawing>
              <wp:anchor distT="0" distB="0" distL="114300" distR="114300" simplePos="0" relativeHeight="251675648" behindDoc="0" locked="0" layoutInCell="1" allowOverlap="1">
                <wp:simplePos x="0" y="0"/>
                <wp:positionH relativeFrom="column">
                  <wp:posOffset>6404610</wp:posOffset>
                </wp:positionH>
                <wp:positionV relativeFrom="paragraph">
                  <wp:posOffset>1890395</wp:posOffset>
                </wp:positionV>
                <wp:extent cx="122555" cy="105410"/>
                <wp:effectExtent l="10795" t="12700" r="19050" b="8890"/>
                <wp:wrapNone/>
                <wp:docPr id="16" name="自选图形 61"/>
                <wp:cNvGraphicFramePr/>
                <a:graphic xmlns:a="http://schemas.openxmlformats.org/drawingml/2006/main">
                  <a:graphicData uri="http://schemas.microsoft.com/office/word/2010/wordprocessingShape">
                    <wps:wsp>
                      <wps:cNvSpPr/>
                      <wps:spPr>
                        <a:xfrm>
                          <a:off x="0" y="0"/>
                          <a:ext cx="122555" cy="105410"/>
                        </a:xfrm>
                        <a:prstGeom prst="triangle">
                          <a:avLst>
                            <a:gd name="adj" fmla="val 50000"/>
                          </a:avLst>
                        </a:prstGeom>
                        <a:solidFill>
                          <a:srgbClr val="FFFF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61" o:spid="_x0000_s1026" o:spt="5" type="#_x0000_t5" style="position:absolute;left:0pt;margin-left:504.3pt;margin-top:148.85pt;height:8.3pt;width:9.65pt;z-index:251675648;mso-width-relative:page;mso-height-relative:page;" fillcolor="#FFFF00" filled="t" stroked="t" coordsize="21600,21600" o:gfxdata="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HxBlT7cAAAADQEAAA8AAAAAAAAAAQAgAAAAOAAA&#10;AGRycy9kb3ducmV2LnhtbFBLAQIUABQAAAAIAIdO4kCzI0GkJwIAAGMEAAAOAAAAAAAAAAEAIAAA&#10;AEEBAABkcnMvZTJvRG9jLnhtbFBLBQYAAAAABgAGAFkBAADaBQAAAAA=&#10;" adj="108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6299200</wp:posOffset>
                </wp:positionH>
                <wp:positionV relativeFrom="paragraph">
                  <wp:posOffset>1890395</wp:posOffset>
                </wp:positionV>
                <wp:extent cx="105410" cy="105410"/>
                <wp:effectExtent l="6350" t="6350" r="15240" b="15240"/>
                <wp:wrapNone/>
                <wp:docPr id="22" name="椭圆 67"/>
                <wp:cNvGraphicFramePr/>
                <a:graphic xmlns:a="http://schemas.openxmlformats.org/drawingml/2006/main">
                  <a:graphicData uri="http://schemas.microsoft.com/office/word/2010/wordprocessingShape">
                    <wps:wsp>
                      <wps:cNvSpPr/>
                      <wps:spPr>
                        <a:xfrm>
                          <a:off x="0" y="0"/>
                          <a:ext cx="105410" cy="10541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67" o:spid="_x0000_s1026" o:spt="3" type="#_x0000_t3" style="position:absolute;left:0pt;margin-left:496pt;margin-top:148.85pt;height:8.3pt;width:8.3pt;z-index:251681792;mso-width-relative:page;mso-height-relative:page;" fillcolor="#FFFF00" filled="t" stroked="t" coordsize="21600,21600" o:gfxdata="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s79VJdoAAAAMAQAA&#10;DwAAAAAAAAABACAAAAA4AAAAZHJzL2Rvd25yZXYueG1sUEsBAhQAFAAAAAgAh07iQHyKQIABAgAA&#10;JgQAAA4AAAAAAAAAAQAgAAAAPwEAAGRycy9lMm9Eb2MueG1sUEsFBgAAAAAGAAYAWQEAALIFAAAA&#10;AA==&#1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6327140</wp:posOffset>
                </wp:positionH>
                <wp:positionV relativeFrom="paragraph">
                  <wp:posOffset>1927225</wp:posOffset>
                </wp:positionV>
                <wp:extent cx="405765" cy="307340"/>
                <wp:effectExtent l="0" t="0" r="0" b="0"/>
                <wp:wrapNone/>
                <wp:docPr id="28" name="文本框 73"/>
                <wp:cNvGraphicFramePr/>
                <a:graphic xmlns:a="http://schemas.openxmlformats.org/drawingml/2006/main">
                  <a:graphicData uri="http://schemas.microsoft.com/office/word/2010/wordprocessingShape">
                    <wps:wsp>
                      <wps:cNvSpPr txBox="1"/>
                      <wps:spPr>
                        <a:xfrm>
                          <a:off x="0" y="0"/>
                          <a:ext cx="405765" cy="307340"/>
                        </a:xfrm>
                        <a:prstGeom prst="rect">
                          <a:avLst/>
                        </a:prstGeom>
                        <a:noFill/>
                        <a:ln>
                          <a:noFill/>
                        </a:ln>
                      </wps:spPr>
                      <wps:txbx>
                        <w:txbxContent>
                          <w:p>
                            <w:pPr>
                              <w:rPr>
                                <w:b/>
                                <w:sz w:val="24"/>
                              </w:rPr>
                            </w:pPr>
                            <w:r>
                              <w:rPr>
                                <w:rFonts w:hint="eastAsia"/>
                                <w:b/>
                                <w:sz w:val="24"/>
                              </w:rPr>
                              <w:t>6</w:t>
                            </w:r>
                            <w:r>
                              <w:rPr>
                                <w:b/>
                                <w:sz w:val="24"/>
                              </w:rPr>
                              <w:t>#</w:t>
                            </w:r>
                          </w:p>
                        </w:txbxContent>
                      </wps:txbx>
                      <wps:bodyPr wrap="square" upright="1"/>
                    </wps:wsp>
                  </a:graphicData>
                </a:graphic>
              </wp:anchor>
            </w:drawing>
          </mc:Choice>
          <mc:Fallback>
            <w:pict>
              <v:shape id="文本框 73" o:spid="_x0000_s1026" o:spt="202" type="#_x0000_t202" style="position:absolute;left:0pt;margin-left:498.2pt;margin-top:151.75pt;height:24.2pt;width:31.95pt;z-index:251687936;mso-width-relative:page;mso-height-relative:page;" filled="f" stroked="f" coordsize="21600,21600" o:gfxdata="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Pbti/TYAAAADAEAAA8AAAAAAAAAAQAgAAAAOAAA&#10;AGRycy9kb3ducmV2LnhtbFBLAQIUABQAAAAIAIdO4kDwILLguQEAAF0DAAAOAAAAAAAAAAEAIAAA&#10;AD0BAABkcnMvZTJvRG9jLnhtbFBLBQYAAAAABgAGAFkBAABoBQAAAAA=&#10;">
                <v:fill on="f" focussize="0,0"/>
                <v:stroke on="f"/>
                <v:imagedata o:title=""/>
                <o:lock v:ext="edit" aspectratio="f"/>
                <v:textbox>
                  <w:txbxContent>
                    <w:p>
                      <w:pPr>
                        <w:rPr>
                          <w:b/>
                          <w:sz w:val="24"/>
                        </w:rPr>
                      </w:pPr>
                      <w:r>
                        <w:rPr>
                          <w:rFonts w:hint="eastAsia"/>
                          <w:b/>
                          <w:sz w:val="24"/>
                        </w:rPr>
                        <w:t>6</w:t>
                      </w:r>
                      <w:r>
                        <w:rPr>
                          <w:b/>
                          <w:sz w:val="24"/>
                        </w:rPr>
                        <w:t>#</w:t>
                      </w:r>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5463540</wp:posOffset>
                </wp:positionH>
                <wp:positionV relativeFrom="paragraph">
                  <wp:posOffset>2034540</wp:posOffset>
                </wp:positionV>
                <wp:extent cx="122555" cy="105410"/>
                <wp:effectExtent l="10795" t="12700" r="19050" b="8890"/>
                <wp:wrapNone/>
                <wp:docPr id="21" name="自选图形 66"/>
                <wp:cNvGraphicFramePr/>
                <a:graphic xmlns:a="http://schemas.openxmlformats.org/drawingml/2006/main">
                  <a:graphicData uri="http://schemas.microsoft.com/office/word/2010/wordprocessingShape">
                    <wps:wsp>
                      <wps:cNvSpPr/>
                      <wps:spPr>
                        <a:xfrm>
                          <a:off x="0" y="0"/>
                          <a:ext cx="122555" cy="105410"/>
                        </a:xfrm>
                        <a:prstGeom prst="triangle">
                          <a:avLst>
                            <a:gd name="adj" fmla="val 50000"/>
                          </a:avLst>
                        </a:prstGeom>
                        <a:solidFill>
                          <a:srgbClr val="FFFF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66" o:spid="_x0000_s1026" o:spt="5" type="#_x0000_t5" style="position:absolute;left:0pt;margin-left:430.2pt;margin-top:160.2pt;height:8.3pt;width:9.65pt;z-index:251680768;mso-width-relative:page;mso-height-relative:page;" fillcolor="#FFFF00" filled="t" stroked="t" coordsize="21600,21600" o:gfxdata="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EoLmkdoAAAALAQAADwAAAAAAAAABACAAAAA4AAAA&#10;ZHJzL2Rvd25yZXYueG1sUEsBAhQAFAAAAAgAh07iQD2+t+IoAgAAYwQAAA4AAAAAAAAAAQAgAAAA&#10;PwEAAGRycy9lMm9Eb2MueG1sUEsFBgAAAAAGAAYAWQEAANkFAAAAAA==&#10;" adj="108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5753100</wp:posOffset>
                </wp:positionH>
                <wp:positionV relativeFrom="paragraph">
                  <wp:posOffset>1995805</wp:posOffset>
                </wp:positionV>
                <wp:extent cx="405765" cy="307340"/>
                <wp:effectExtent l="0" t="0" r="0" b="0"/>
                <wp:wrapNone/>
                <wp:docPr id="27" name="文本框 72"/>
                <wp:cNvGraphicFramePr/>
                <a:graphic xmlns:a="http://schemas.openxmlformats.org/drawingml/2006/main">
                  <a:graphicData uri="http://schemas.microsoft.com/office/word/2010/wordprocessingShape">
                    <wps:wsp>
                      <wps:cNvSpPr txBox="1"/>
                      <wps:spPr>
                        <a:xfrm>
                          <a:off x="0" y="0"/>
                          <a:ext cx="405765" cy="307340"/>
                        </a:xfrm>
                        <a:prstGeom prst="rect">
                          <a:avLst/>
                        </a:prstGeom>
                        <a:noFill/>
                        <a:ln>
                          <a:noFill/>
                        </a:ln>
                      </wps:spPr>
                      <wps:txbx>
                        <w:txbxContent>
                          <w:p>
                            <w:pPr>
                              <w:rPr>
                                <w:b/>
                                <w:sz w:val="24"/>
                              </w:rPr>
                            </w:pPr>
                            <w:r>
                              <w:rPr>
                                <w:rFonts w:hint="eastAsia"/>
                                <w:b/>
                                <w:sz w:val="24"/>
                              </w:rPr>
                              <w:t>5</w:t>
                            </w:r>
                            <w:r>
                              <w:rPr>
                                <w:b/>
                                <w:sz w:val="24"/>
                              </w:rPr>
                              <w:t>#</w:t>
                            </w:r>
                          </w:p>
                        </w:txbxContent>
                      </wps:txbx>
                      <wps:bodyPr wrap="square" upright="1"/>
                    </wps:wsp>
                  </a:graphicData>
                </a:graphic>
              </wp:anchor>
            </w:drawing>
          </mc:Choice>
          <mc:Fallback>
            <w:pict>
              <v:shape id="文本框 72" o:spid="_x0000_s1026" o:spt="202" type="#_x0000_t202" style="position:absolute;left:0pt;margin-left:453pt;margin-top:157.15pt;height:24.2pt;width:31.95pt;z-index:251686912;mso-width-relative:page;mso-height-relative:page;" filled="f" stroked="f" coordsize="21600,21600" o:gfxdata="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A1YnWu2AAAAAsBAAAPAAAAAAAAAAEAIAAAADgA&#10;AABkcnMvZG93bnJldi54bWxQSwECFAAUAAAACACHTuJACDVgmLoBAABdAwAADgAAAAAAAAABACAA&#10;AAA9AQAAZHJzL2Uyb0RvYy54bWxQSwUGAAAAAAYABgBZAQAAaQUAAAAA&#10;">
                <v:fill on="f" focussize="0,0"/>
                <v:stroke on="f"/>
                <v:imagedata o:title=""/>
                <o:lock v:ext="edit" aspectratio="f"/>
                <v:textbox>
                  <w:txbxContent>
                    <w:p>
                      <w:pPr>
                        <w:rPr>
                          <w:b/>
                          <w:sz w:val="24"/>
                        </w:rPr>
                      </w:pPr>
                      <w:r>
                        <w:rPr>
                          <w:rFonts w:hint="eastAsia"/>
                          <w:b/>
                          <w:sz w:val="24"/>
                        </w:rPr>
                        <w:t>5</w:t>
                      </w:r>
                      <w:r>
                        <w:rPr>
                          <w:b/>
                          <w:sz w:val="24"/>
                        </w:rPr>
                        <w:t>#</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5586095</wp:posOffset>
                </wp:positionH>
                <wp:positionV relativeFrom="paragraph">
                  <wp:posOffset>2034540</wp:posOffset>
                </wp:positionV>
                <wp:extent cx="105410" cy="105410"/>
                <wp:effectExtent l="6350" t="6350" r="15240" b="15240"/>
                <wp:wrapNone/>
                <wp:docPr id="15" name="椭圆 60"/>
                <wp:cNvGraphicFramePr/>
                <a:graphic xmlns:a="http://schemas.openxmlformats.org/drawingml/2006/main">
                  <a:graphicData uri="http://schemas.microsoft.com/office/word/2010/wordprocessingShape">
                    <wps:wsp>
                      <wps:cNvSpPr/>
                      <wps:spPr>
                        <a:xfrm>
                          <a:off x="0" y="0"/>
                          <a:ext cx="105410" cy="10541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60" o:spid="_x0000_s1026" o:spt="3" type="#_x0000_t3" style="position:absolute;left:0pt;margin-left:439.85pt;margin-top:160.2pt;height:8.3pt;width:8.3pt;z-index:251674624;mso-width-relative:page;mso-height-relative:page;" fillcolor="#FFFF00" filled="t" stroked="t" coordsize="21600,21600" o:gfxdata="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FW8YzvZAAAACwEAAA8A&#10;AAAAAAAAAQAgAAAAOAAAAGRycy9kb3ducmV2LnhtbFBLAQIUABQAAAAIAIdO4kA+b67JAAIAACYE&#10;AAAOAAAAAAAAAAEAIAAAAD4BAABkcnMvZTJvRG9jLnhtbFBLBQYAAAAABgAGAFkBAACwBQAAAAA=&#1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5285740</wp:posOffset>
                </wp:positionH>
                <wp:positionV relativeFrom="paragraph">
                  <wp:posOffset>2428875</wp:posOffset>
                </wp:positionV>
                <wp:extent cx="122555" cy="105410"/>
                <wp:effectExtent l="10795" t="12700" r="19050" b="8890"/>
                <wp:wrapNone/>
                <wp:docPr id="20" name="自选图形 65"/>
                <wp:cNvGraphicFramePr/>
                <a:graphic xmlns:a="http://schemas.openxmlformats.org/drawingml/2006/main">
                  <a:graphicData uri="http://schemas.microsoft.com/office/word/2010/wordprocessingShape">
                    <wps:wsp>
                      <wps:cNvSpPr/>
                      <wps:spPr>
                        <a:xfrm>
                          <a:off x="0" y="0"/>
                          <a:ext cx="122555" cy="105410"/>
                        </a:xfrm>
                        <a:prstGeom prst="triangle">
                          <a:avLst>
                            <a:gd name="adj" fmla="val 50000"/>
                          </a:avLst>
                        </a:prstGeom>
                        <a:solidFill>
                          <a:srgbClr val="FFFF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65" o:spid="_x0000_s1026" o:spt="5" type="#_x0000_t5" style="position:absolute;left:0pt;margin-left:416.2pt;margin-top:191.25pt;height:8.3pt;width:9.65pt;z-index:251679744;mso-width-relative:page;mso-height-relative:page;" fillcolor="#FFFF00" filled="t" stroked="t" coordsize="21600,21600" o:gfxdata="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GhCpXbAAAACwEAAA8AAAAAAAAAAQAgAAAAOAAA&#10;AGRycy9kb3ducmV2LnhtbFBLAQIUABQAAAAIAIdO4kD6DyYbKAIAAGMEAAAOAAAAAAAAAAEAIAAA&#10;AEABAABkcnMvZTJvRG9jLnhtbFBLBQYAAAAABgAGAFkBAADaBQAAAAA=&#10;" adj="108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5116195</wp:posOffset>
                </wp:positionH>
                <wp:positionV relativeFrom="paragraph">
                  <wp:posOffset>2428875</wp:posOffset>
                </wp:positionV>
                <wp:extent cx="105410" cy="105410"/>
                <wp:effectExtent l="6350" t="6350" r="15240" b="15240"/>
                <wp:wrapNone/>
                <wp:docPr id="14" name="椭圆 59"/>
                <wp:cNvGraphicFramePr/>
                <a:graphic xmlns:a="http://schemas.openxmlformats.org/drawingml/2006/main">
                  <a:graphicData uri="http://schemas.microsoft.com/office/word/2010/wordprocessingShape">
                    <wps:wsp>
                      <wps:cNvSpPr/>
                      <wps:spPr>
                        <a:xfrm>
                          <a:off x="0" y="0"/>
                          <a:ext cx="105410" cy="10541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59" o:spid="_x0000_s1026" o:spt="3" type="#_x0000_t3" style="position:absolute;left:0pt;margin-left:402.85pt;margin-top:191.25pt;height:8.3pt;width:8.3pt;z-index:251673600;mso-width-relative:page;mso-height-relative:page;" fillcolor="#FFFF00" filled="t" stroked="t" coordsize="21600,21600" o:gfxdata="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BdgXo2QAAAAsBAAAP&#10;AAAAAAAAAAEAIAAAADgAAABkcnMvZG93bnJldi54bWxQSwECFAAUAAAACACHTuJA0cVr3wECAAAm&#10;BAAADgAAAAAAAAABACAAAAA+AQAAZHJzL2Uyb0RvYy54bWxQSwUGAAAAAAYABgBZAQAAsQUAAAAA&#1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5285740</wp:posOffset>
                </wp:positionH>
                <wp:positionV relativeFrom="paragraph">
                  <wp:posOffset>2303145</wp:posOffset>
                </wp:positionV>
                <wp:extent cx="405765" cy="307340"/>
                <wp:effectExtent l="0" t="0" r="0" b="0"/>
                <wp:wrapNone/>
                <wp:docPr id="26" name="文本框 71"/>
                <wp:cNvGraphicFramePr/>
                <a:graphic xmlns:a="http://schemas.openxmlformats.org/drawingml/2006/main">
                  <a:graphicData uri="http://schemas.microsoft.com/office/word/2010/wordprocessingShape">
                    <wps:wsp>
                      <wps:cNvSpPr txBox="1"/>
                      <wps:spPr>
                        <a:xfrm>
                          <a:off x="0" y="0"/>
                          <a:ext cx="405765" cy="307340"/>
                        </a:xfrm>
                        <a:prstGeom prst="rect">
                          <a:avLst/>
                        </a:prstGeom>
                        <a:noFill/>
                        <a:ln>
                          <a:noFill/>
                        </a:ln>
                      </wps:spPr>
                      <wps:txbx>
                        <w:txbxContent>
                          <w:p>
                            <w:pPr>
                              <w:rPr>
                                <w:b/>
                                <w:sz w:val="24"/>
                              </w:rPr>
                            </w:pPr>
                            <w:r>
                              <w:rPr>
                                <w:rFonts w:hint="eastAsia"/>
                                <w:b/>
                                <w:sz w:val="24"/>
                              </w:rPr>
                              <w:t>4</w:t>
                            </w:r>
                            <w:r>
                              <w:rPr>
                                <w:b/>
                                <w:sz w:val="24"/>
                              </w:rPr>
                              <w:t>#</w:t>
                            </w:r>
                          </w:p>
                        </w:txbxContent>
                      </wps:txbx>
                      <wps:bodyPr wrap="square" upright="1"/>
                    </wps:wsp>
                  </a:graphicData>
                </a:graphic>
              </wp:anchor>
            </w:drawing>
          </mc:Choice>
          <mc:Fallback>
            <w:pict>
              <v:shape id="文本框 71" o:spid="_x0000_s1026" o:spt="202" type="#_x0000_t202" style="position:absolute;left:0pt;margin-left:416.2pt;margin-top:181.35pt;height:24.2pt;width:31.95pt;z-index:251685888;mso-width-relative:page;mso-height-relative:page;" filled="f" stroked="f" coordsize="21600,21600" o:gfxdata="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ARJvYV2QAAAAsBAAAPAAAAAAAAAAEAIAAAADgA&#10;AABkcnMvZG93bnJldi54bWxQSwECFAAUAAAACACHTuJAwEBnI7kBAABdAwAADgAAAAAAAAABACAA&#10;AAA+AQAAZHJzL2Uyb0RvYy54bWxQSwUGAAAAAAYABgBZAQAAaQUAAAAA&#10;">
                <v:fill on="f" focussize="0,0"/>
                <v:stroke on="f"/>
                <v:imagedata o:title=""/>
                <o:lock v:ext="edit" aspectratio="f"/>
                <v:textbox>
                  <w:txbxContent>
                    <w:p>
                      <w:pPr>
                        <w:rPr>
                          <w:b/>
                          <w:sz w:val="24"/>
                        </w:rPr>
                      </w:pPr>
                      <w:r>
                        <w:rPr>
                          <w:rFonts w:hint="eastAsia"/>
                          <w:b/>
                          <w:sz w:val="24"/>
                        </w:rPr>
                        <w:t>4</w:t>
                      </w:r>
                      <w:r>
                        <w:rPr>
                          <w:b/>
                          <w:sz w:val="24"/>
                        </w:rPr>
                        <w:t>#</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3060700</wp:posOffset>
                </wp:positionH>
                <wp:positionV relativeFrom="paragraph">
                  <wp:posOffset>2428875</wp:posOffset>
                </wp:positionV>
                <wp:extent cx="105410" cy="105410"/>
                <wp:effectExtent l="6350" t="6350" r="15240" b="15240"/>
                <wp:wrapNone/>
                <wp:docPr id="11" name="椭圆 56"/>
                <wp:cNvGraphicFramePr/>
                <a:graphic xmlns:a="http://schemas.openxmlformats.org/drawingml/2006/main">
                  <a:graphicData uri="http://schemas.microsoft.com/office/word/2010/wordprocessingShape">
                    <wps:wsp>
                      <wps:cNvSpPr/>
                      <wps:spPr>
                        <a:xfrm>
                          <a:off x="0" y="0"/>
                          <a:ext cx="105410" cy="10541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56" o:spid="_x0000_s1026" o:spt="3" type="#_x0000_t3" style="position:absolute;left:0pt;margin-left:241pt;margin-top:191.25pt;height:8.3pt;width:8.3pt;z-index:251670528;mso-width-relative:page;mso-height-relative:page;" fillcolor="#FFFF00" filled="t" stroked="t" coordsize="21600,21600" o:gfxdata="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lnzoR2QAAAAsBAAAP&#10;AAAAAAAAAAEAIAAAADgAAABkcnMvZG93bnJldi54bWxQSwECFAAUAAAACACHTuJAMo/cMgECAAAm&#10;BAAADgAAAAAAAAABACAAAAA+AQAAZHJzL2Uyb0RvYy54bWxQSwUGAAAAAAYABgBZAQAAsQUAAAAA&#1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3218180</wp:posOffset>
                </wp:positionH>
                <wp:positionV relativeFrom="paragraph">
                  <wp:posOffset>2357120</wp:posOffset>
                </wp:positionV>
                <wp:extent cx="405765" cy="307340"/>
                <wp:effectExtent l="0" t="0" r="0" b="0"/>
                <wp:wrapNone/>
                <wp:docPr id="23" name="文本框 68"/>
                <wp:cNvGraphicFramePr/>
                <a:graphic xmlns:a="http://schemas.openxmlformats.org/drawingml/2006/main">
                  <a:graphicData uri="http://schemas.microsoft.com/office/word/2010/wordprocessingShape">
                    <wps:wsp>
                      <wps:cNvSpPr txBox="1"/>
                      <wps:spPr>
                        <a:xfrm>
                          <a:off x="0" y="0"/>
                          <a:ext cx="405765" cy="307340"/>
                        </a:xfrm>
                        <a:prstGeom prst="rect">
                          <a:avLst/>
                        </a:prstGeom>
                        <a:noFill/>
                        <a:ln>
                          <a:noFill/>
                        </a:ln>
                      </wps:spPr>
                      <wps:txbx>
                        <w:txbxContent>
                          <w:p>
                            <w:pPr>
                              <w:rPr>
                                <w:b/>
                                <w:sz w:val="24"/>
                              </w:rPr>
                            </w:pPr>
                            <w:r>
                              <w:rPr>
                                <w:b/>
                                <w:sz w:val="24"/>
                              </w:rPr>
                              <w:t>1#</w:t>
                            </w:r>
                          </w:p>
                        </w:txbxContent>
                      </wps:txbx>
                      <wps:bodyPr wrap="square" upright="1"/>
                    </wps:wsp>
                  </a:graphicData>
                </a:graphic>
              </wp:anchor>
            </w:drawing>
          </mc:Choice>
          <mc:Fallback>
            <w:pict>
              <v:shape id="文本框 68" o:spid="_x0000_s1026" o:spt="202" type="#_x0000_t202" style="position:absolute;left:0pt;margin-left:253.4pt;margin-top:185.6pt;height:24.2pt;width:31.95pt;z-index:251682816;mso-width-relative:page;mso-height-relative:page;" filled="f" stroked="f" coordsize="21600,21600" o:gfxdata="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Yx7mYdkAAAALAQAADwAAAAAAAAABACAAAAA4&#10;AAAAZHJzL2Rvd25yZXYueG1sUEsBAhQAFAAAAAgAh07iQH5fb4C6AQAAXQMAAA4AAAAAAAAAAQAg&#10;AAAAPgEAAGRycy9lMm9Eb2MueG1sUEsFBgAAAAAGAAYAWQEAAGoFAAAAAA==&#10;">
                <v:fill on="f" focussize="0,0"/>
                <v:stroke on="f"/>
                <v:imagedata o:title=""/>
                <o:lock v:ext="edit" aspectratio="f"/>
                <v:textbox>
                  <w:txbxContent>
                    <w:p>
                      <w:pPr>
                        <w:rPr>
                          <w:b/>
                          <w:sz w:val="24"/>
                        </w:rPr>
                      </w:pPr>
                      <w:r>
                        <w:rPr>
                          <w:b/>
                          <w:sz w:val="24"/>
                        </w:rPr>
                        <w:t>1#</w:t>
                      </w:r>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3166110</wp:posOffset>
                </wp:positionH>
                <wp:positionV relativeFrom="paragraph">
                  <wp:posOffset>2428875</wp:posOffset>
                </wp:positionV>
                <wp:extent cx="122555" cy="105410"/>
                <wp:effectExtent l="10795" t="12700" r="19050" b="8890"/>
                <wp:wrapNone/>
                <wp:docPr id="17" name="自选图形 62"/>
                <wp:cNvGraphicFramePr/>
                <a:graphic xmlns:a="http://schemas.openxmlformats.org/drawingml/2006/main">
                  <a:graphicData uri="http://schemas.microsoft.com/office/word/2010/wordprocessingShape">
                    <wps:wsp>
                      <wps:cNvSpPr/>
                      <wps:spPr>
                        <a:xfrm>
                          <a:off x="0" y="0"/>
                          <a:ext cx="122555" cy="105410"/>
                        </a:xfrm>
                        <a:prstGeom prst="triangle">
                          <a:avLst>
                            <a:gd name="adj" fmla="val 50000"/>
                          </a:avLst>
                        </a:prstGeom>
                        <a:solidFill>
                          <a:srgbClr val="FFFF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62" o:spid="_x0000_s1026" o:spt="5" type="#_x0000_t5" style="position:absolute;left:0pt;margin-left:249.3pt;margin-top:191.25pt;height:8.3pt;width:9.65pt;z-index:251676672;mso-width-relative:page;mso-height-relative:page;" fillcolor="#FFFF00" filled="t" stroked="t" coordsize="21600,21600" o:gfxdata="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H0CftPbAAAACwEAAA8AAAAAAAAAAQAgAAAAOAAA&#10;AGRycy9kb3ducmV2LnhtbFBLAQIUABQAAAAIAIdO4kB0ktBdKAIAAGMEAAAOAAAAAAAAAAEAIAAA&#10;AEABAABkcnMvZTJvRG9jLnhtbFBLBQYAAAAABgAGAFkBAADaBQAAAAA=&#10;" adj="108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3888740</wp:posOffset>
                </wp:positionH>
                <wp:positionV relativeFrom="paragraph">
                  <wp:posOffset>2428875</wp:posOffset>
                </wp:positionV>
                <wp:extent cx="405765" cy="307340"/>
                <wp:effectExtent l="0" t="0" r="0" b="0"/>
                <wp:wrapNone/>
                <wp:docPr id="25" name="文本框 70"/>
                <wp:cNvGraphicFramePr/>
                <a:graphic xmlns:a="http://schemas.openxmlformats.org/drawingml/2006/main">
                  <a:graphicData uri="http://schemas.microsoft.com/office/word/2010/wordprocessingShape">
                    <wps:wsp>
                      <wps:cNvSpPr txBox="1"/>
                      <wps:spPr>
                        <a:xfrm>
                          <a:off x="0" y="0"/>
                          <a:ext cx="405765" cy="307340"/>
                        </a:xfrm>
                        <a:prstGeom prst="rect">
                          <a:avLst/>
                        </a:prstGeom>
                        <a:noFill/>
                        <a:ln>
                          <a:noFill/>
                        </a:ln>
                      </wps:spPr>
                      <wps:txbx>
                        <w:txbxContent>
                          <w:p>
                            <w:pPr>
                              <w:rPr>
                                <w:b/>
                                <w:sz w:val="24"/>
                              </w:rPr>
                            </w:pPr>
                            <w:r>
                              <w:rPr>
                                <w:rFonts w:hint="eastAsia"/>
                                <w:b/>
                                <w:sz w:val="24"/>
                              </w:rPr>
                              <w:t>3</w:t>
                            </w:r>
                            <w:r>
                              <w:rPr>
                                <w:b/>
                                <w:sz w:val="24"/>
                              </w:rPr>
                              <w:t>#</w:t>
                            </w:r>
                          </w:p>
                        </w:txbxContent>
                      </wps:txbx>
                      <wps:bodyPr wrap="square" upright="1"/>
                    </wps:wsp>
                  </a:graphicData>
                </a:graphic>
              </wp:anchor>
            </w:drawing>
          </mc:Choice>
          <mc:Fallback>
            <w:pict>
              <v:shape id="文本框 70" o:spid="_x0000_s1026" o:spt="202" type="#_x0000_t202" style="position:absolute;left:0pt;margin-left:306.2pt;margin-top:191.25pt;height:24.2pt;width:31.95pt;z-index:251684864;mso-width-relative:page;mso-height-relative:page;" filled="f" stroked="f" coordsize="21600,21600" o:gfxdata="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&#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XsUjdkAAAALAQAADwAAAAAAAAABACAAAAA4AAAA&#10;ZHJzL2Rvd25yZXYueG1sUEsBAhQAFAAAAAgAh07iQCiiEU63AQAAXQMAAA4AAAAAAAAAAQAgAAAA&#10;PgEAAGRycy9lMm9Eb2MueG1sUEsFBgAAAAAGAAYAWQEAAGcFAAAAAA==&#10;">
                <v:fill on="f" focussize="0,0"/>
                <v:stroke on="f"/>
                <v:imagedata o:title=""/>
                <o:lock v:ext="edit" aspectratio="f"/>
                <v:textbox>
                  <w:txbxContent>
                    <w:p>
                      <w:pPr>
                        <w:rPr>
                          <w:b/>
                          <w:sz w:val="24"/>
                        </w:rPr>
                      </w:pPr>
                      <w:r>
                        <w:rPr>
                          <w:rFonts w:hint="eastAsia"/>
                          <w:b/>
                          <w:sz w:val="24"/>
                        </w:rPr>
                        <w:t>3</w:t>
                      </w:r>
                      <w:r>
                        <w:rPr>
                          <w:b/>
                          <w:sz w:val="24"/>
                        </w:rPr>
                        <w:t>#</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3660775</wp:posOffset>
                </wp:positionH>
                <wp:positionV relativeFrom="paragraph">
                  <wp:posOffset>2505075</wp:posOffset>
                </wp:positionV>
                <wp:extent cx="105410" cy="105410"/>
                <wp:effectExtent l="6350" t="6350" r="15240" b="15240"/>
                <wp:wrapNone/>
                <wp:docPr id="13" name="椭圆 58"/>
                <wp:cNvGraphicFramePr/>
                <a:graphic xmlns:a="http://schemas.openxmlformats.org/drawingml/2006/main">
                  <a:graphicData uri="http://schemas.microsoft.com/office/word/2010/wordprocessingShape">
                    <wps:wsp>
                      <wps:cNvSpPr/>
                      <wps:spPr>
                        <a:xfrm>
                          <a:off x="0" y="0"/>
                          <a:ext cx="105410" cy="10541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58" o:spid="_x0000_s1026" o:spt="3" type="#_x0000_t3" style="position:absolute;left:0pt;margin-left:288.25pt;margin-top:197.25pt;height:8.3pt;width:8.3pt;z-index:251672576;mso-width-relative:page;mso-height-relative:page;" fillcolor="#FFFF00" filled="t" stroked="t" coordsize="21600,21600" o:gfxdata="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Z9ERNNoAAAALAQAA&#10;DwAAAAAAAAABACAAAAA4AAAAZHJzL2Rvd25yZXYueG1sUEsBAhQAFAAAAAgAh07iQCj9SVsBAgAA&#10;JgQAAA4AAAAAAAAAAQAgAAAAPwEAAGRycy9lMm9Eb2MueG1sUEsFBgAAAAAGAAYAWQEAALIFAAAA&#10;AA==&#1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3766185</wp:posOffset>
                </wp:positionH>
                <wp:positionV relativeFrom="paragraph">
                  <wp:posOffset>2505075</wp:posOffset>
                </wp:positionV>
                <wp:extent cx="122555" cy="105410"/>
                <wp:effectExtent l="10795" t="12700" r="19050" b="8890"/>
                <wp:wrapNone/>
                <wp:docPr id="19" name="自选图形 64"/>
                <wp:cNvGraphicFramePr/>
                <a:graphic xmlns:a="http://schemas.openxmlformats.org/drawingml/2006/main">
                  <a:graphicData uri="http://schemas.microsoft.com/office/word/2010/wordprocessingShape">
                    <wps:wsp>
                      <wps:cNvSpPr/>
                      <wps:spPr>
                        <a:xfrm>
                          <a:off x="0" y="0"/>
                          <a:ext cx="122555" cy="105410"/>
                        </a:xfrm>
                        <a:prstGeom prst="triangle">
                          <a:avLst>
                            <a:gd name="adj" fmla="val 50000"/>
                          </a:avLst>
                        </a:prstGeom>
                        <a:solidFill>
                          <a:srgbClr val="FFFF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64" o:spid="_x0000_s1026" o:spt="5" type="#_x0000_t5" style="position:absolute;left:0pt;margin-left:296.55pt;margin-top:197.25pt;height:8.3pt;width:9.65pt;z-index:251678720;mso-width-relative:page;mso-height-relative:page;" fillcolor="#FFFF00" filled="t" stroked="t" coordsize="21600,21600" o:gfxdata="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Nyqvm9wAAAALAQAADwAAAAAAAAABACAAAAA4&#10;AAAAZHJzL2Rvd25yZXYueG1sUEsBAhQAFAAAAAgAh07iQD7yC9EpAgAAYwQAAA4AAAAAAAAAAQAg&#10;AAAAQQEAAGRycy9lMm9Eb2MueG1sUEsFBgAAAAAGAAYAWQEAANwFAAAAAA==&#10;" adj="108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3677285</wp:posOffset>
                </wp:positionH>
                <wp:positionV relativeFrom="paragraph">
                  <wp:posOffset>2736215</wp:posOffset>
                </wp:positionV>
                <wp:extent cx="122555" cy="105410"/>
                <wp:effectExtent l="10795" t="12700" r="19050" b="8890"/>
                <wp:wrapNone/>
                <wp:docPr id="18" name="自选图形 63"/>
                <wp:cNvGraphicFramePr/>
                <a:graphic xmlns:a="http://schemas.openxmlformats.org/drawingml/2006/main">
                  <a:graphicData uri="http://schemas.microsoft.com/office/word/2010/wordprocessingShape">
                    <wps:wsp>
                      <wps:cNvSpPr/>
                      <wps:spPr>
                        <a:xfrm>
                          <a:off x="0" y="0"/>
                          <a:ext cx="122555" cy="105410"/>
                        </a:xfrm>
                        <a:prstGeom prst="triangle">
                          <a:avLst>
                            <a:gd name="adj" fmla="val 50000"/>
                          </a:avLst>
                        </a:prstGeom>
                        <a:solidFill>
                          <a:srgbClr val="FFFF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63" o:spid="_x0000_s1026" o:spt="5" type="#_x0000_t5" style="position:absolute;left:0pt;margin-left:289.55pt;margin-top:215.45pt;height:8.3pt;width:9.65pt;z-index:251677696;mso-width-relative:page;mso-height-relative:page;" fillcolor="#FFFF00" filled="t" stroked="t" coordsize="21600,21600" o:gfxdata="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wk3k73AAAAAsBAAAPAAAAAAAAAAEAIAAAADgA&#10;AABkcnMvZG93bnJldi54bWxQSwECFAAUAAAACACHTuJA2FLk4igCAABjBAAADgAAAAAAAAABACAA&#10;AABBAQAAZHJzL2Uyb0RvYy54bWxQSwUGAAAAAAYABgBZAQAA2wUAAAAA&#10;" adj="108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3571875</wp:posOffset>
                </wp:positionH>
                <wp:positionV relativeFrom="paragraph">
                  <wp:posOffset>2785110</wp:posOffset>
                </wp:positionV>
                <wp:extent cx="105410" cy="105410"/>
                <wp:effectExtent l="6350" t="6350" r="15240" b="15240"/>
                <wp:wrapNone/>
                <wp:docPr id="12" name="椭圆 57"/>
                <wp:cNvGraphicFramePr/>
                <a:graphic xmlns:a="http://schemas.openxmlformats.org/drawingml/2006/main">
                  <a:graphicData uri="http://schemas.microsoft.com/office/word/2010/wordprocessingShape">
                    <wps:wsp>
                      <wps:cNvSpPr/>
                      <wps:spPr>
                        <a:xfrm>
                          <a:off x="0" y="0"/>
                          <a:ext cx="105410" cy="10541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57" o:spid="_x0000_s1026" o:spt="3" type="#_x0000_t3" style="position:absolute;left:0pt;margin-left:281.25pt;margin-top:219.3pt;height:8.3pt;width:8.3pt;z-index:251671552;mso-width-relative:page;mso-height-relative:page;" fillcolor="#FFFF00" filled="t" stroked="t" coordsize="21600,21600" o:gfxdata="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N19SZ2QAAAAsBAAAP&#10;AAAAAAAAAAEAIAAAADgAAABkcnMvZG93bnJldi54bWxQSwECFAAUAAAACACHTuJAPuVw3QECAAAm&#10;BAAADgAAAAAAAAABACAAAAA+AQAAZHJzL2Uyb0RvYy54bWxQSwUGAAAAAAYABgBZAQAAsQUAAAAA&#1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3766185</wp:posOffset>
                </wp:positionH>
                <wp:positionV relativeFrom="paragraph">
                  <wp:posOffset>2664460</wp:posOffset>
                </wp:positionV>
                <wp:extent cx="405765" cy="307340"/>
                <wp:effectExtent l="0" t="0" r="0" b="0"/>
                <wp:wrapNone/>
                <wp:docPr id="24" name="文本框 69"/>
                <wp:cNvGraphicFramePr/>
                <a:graphic xmlns:a="http://schemas.openxmlformats.org/drawingml/2006/main">
                  <a:graphicData uri="http://schemas.microsoft.com/office/word/2010/wordprocessingShape">
                    <wps:wsp>
                      <wps:cNvSpPr txBox="1"/>
                      <wps:spPr>
                        <a:xfrm>
                          <a:off x="0" y="0"/>
                          <a:ext cx="405765" cy="307340"/>
                        </a:xfrm>
                        <a:prstGeom prst="rect">
                          <a:avLst/>
                        </a:prstGeom>
                        <a:noFill/>
                        <a:ln>
                          <a:noFill/>
                        </a:ln>
                      </wps:spPr>
                      <wps:txbx>
                        <w:txbxContent>
                          <w:p>
                            <w:pPr>
                              <w:rPr>
                                <w:b/>
                                <w:sz w:val="24"/>
                              </w:rPr>
                            </w:pPr>
                            <w:r>
                              <w:rPr>
                                <w:rFonts w:hint="eastAsia"/>
                                <w:b/>
                                <w:sz w:val="24"/>
                              </w:rPr>
                              <w:t>2</w:t>
                            </w:r>
                            <w:r>
                              <w:rPr>
                                <w:b/>
                                <w:sz w:val="24"/>
                              </w:rPr>
                              <w:t>#</w:t>
                            </w:r>
                          </w:p>
                        </w:txbxContent>
                      </wps:txbx>
                      <wps:bodyPr wrap="square" upright="1"/>
                    </wps:wsp>
                  </a:graphicData>
                </a:graphic>
              </wp:anchor>
            </w:drawing>
          </mc:Choice>
          <mc:Fallback>
            <w:pict>
              <v:shape id="文本框 69" o:spid="_x0000_s1026" o:spt="202" type="#_x0000_t202" style="position:absolute;left:0pt;margin-left:296.55pt;margin-top:209.8pt;height:24.2pt;width:31.95pt;z-index:251683840;mso-width-relative:page;mso-height-relative:page;" filled="f" stroked="f" coordsize="21600,21600" o:gfxdata="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BuKrAZ2AAAAAsBAAAPAAAAAAAAAAEAIAAAADgA&#10;AABkcnMvZG93bnJldi54bWxQSwECFAAUAAAACACHTuJAZu+F4boBAABdAwAADgAAAAAAAAABACAA&#10;AAA9AQAAZHJzL2Uyb0RvYy54bWxQSwUGAAAAAAYABgBZAQAAaQUAAAAA&#10;">
                <v:fill on="f" focussize="0,0"/>
                <v:stroke on="f"/>
                <v:imagedata o:title=""/>
                <o:lock v:ext="edit" aspectratio="f"/>
                <v:textbox>
                  <w:txbxContent>
                    <w:p>
                      <w:pPr>
                        <w:rPr>
                          <w:b/>
                          <w:sz w:val="24"/>
                        </w:rPr>
                      </w:pPr>
                      <w:r>
                        <w:rPr>
                          <w:rFonts w:hint="eastAsia"/>
                          <w:b/>
                          <w:sz w:val="24"/>
                        </w:rPr>
                        <w:t>2</w:t>
                      </w:r>
                      <w:r>
                        <w:rPr>
                          <w:b/>
                          <w:sz w:val="24"/>
                        </w:rPr>
                        <w:t>#</w:t>
                      </w:r>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7368540</wp:posOffset>
                </wp:positionH>
                <wp:positionV relativeFrom="paragraph">
                  <wp:posOffset>3785870</wp:posOffset>
                </wp:positionV>
                <wp:extent cx="1819910" cy="756285"/>
                <wp:effectExtent l="6350" t="6350" r="27940" b="24765"/>
                <wp:wrapNone/>
                <wp:docPr id="29" name="文本框 74"/>
                <wp:cNvGraphicFramePr/>
                <a:graphic xmlns:a="http://schemas.openxmlformats.org/drawingml/2006/main">
                  <a:graphicData uri="http://schemas.microsoft.com/office/word/2010/wordprocessingShape">
                    <wps:wsp>
                      <wps:cNvSpPr txBox="1"/>
                      <wps:spPr>
                        <a:xfrm>
                          <a:off x="0" y="0"/>
                          <a:ext cx="1819910" cy="756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图例</w:t>
                            </w:r>
                          </w:p>
                          <w:p>
                            <w:pPr>
                              <w:rPr>
                                <w:rFonts w:hint="eastAsia"/>
                              </w:rPr>
                            </w:pPr>
                            <w:r>
                              <w:rPr>
                                <w:rFonts w:hint="eastAsia"/>
                              </w:rPr>
                              <w:t>工频电磁场监测点</w:t>
                            </w:r>
                            <w:r>
                              <w:drawing>
                                <wp:inline distT="0" distB="0" distL="114300" distR="114300">
                                  <wp:extent cx="114300" cy="114300"/>
                                  <wp:effectExtent l="0" t="0" r="12700" b="1270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58"/>
                                          <a:stretch>
                                            <a:fillRect/>
                                          </a:stretch>
                                        </pic:blipFill>
                                        <pic:spPr>
                                          <a:xfrm>
                                            <a:off x="0" y="0"/>
                                            <a:ext cx="114300" cy="114300"/>
                                          </a:xfrm>
                                          <a:prstGeom prst="rect">
                                            <a:avLst/>
                                          </a:prstGeom>
                                          <a:noFill/>
                                          <a:ln>
                                            <a:noFill/>
                                          </a:ln>
                                        </pic:spPr>
                                      </pic:pic>
                                    </a:graphicData>
                                  </a:graphic>
                                </wp:inline>
                              </w:drawing>
                            </w:r>
                          </w:p>
                          <w:p>
                            <w:r>
                              <w:rPr>
                                <w:rFonts w:hint="eastAsia"/>
                              </w:rPr>
                              <w:t>噪声监测点</w:t>
                            </w:r>
                            <w:r>
                              <w:drawing>
                                <wp:inline distT="0" distB="0" distL="114300" distR="114300">
                                  <wp:extent cx="149225" cy="123190"/>
                                  <wp:effectExtent l="0" t="0" r="3175" b="381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59"/>
                                          <a:stretch>
                                            <a:fillRect/>
                                          </a:stretch>
                                        </pic:blipFill>
                                        <pic:spPr>
                                          <a:xfrm>
                                            <a:off x="0" y="0"/>
                                            <a:ext cx="149225" cy="123190"/>
                                          </a:xfrm>
                                          <a:prstGeom prst="rect">
                                            <a:avLst/>
                                          </a:prstGeom>
                                          <a:noFill/>
                                          <a:ln>
                                            <a:noFill/>
                                          </a:ln>
                                        </pic:spPr>
                                      </pic:pic>
                                    </a:graphicData>
                                  </a:graphic>
                                </wp:inline>
                              </w:drawing>
                            </w:r>
                          </w:p>
                        </w:txbxContent>
                      </wps:txbx>
                      <wps:bodyPr wrap="square" upright="1"/>
                    </wps:wsp>
                  </a:graphicData>
                </a:graphic>
              </wp:anchor>
            </w:drawing>
          </mc:Choice>
          <mc:Fallback>
            <w:pict>
              <v:shape id="文本框 74" o:spid="_x0000_s1026" o:spt="202" type="#_x0000_t202" style="position:absolute;left:0pt;margin-left:580.2pt;margin-top:298.1pt;height:59.55pt;width:143.3pt;z-index:251688960;mso-width-relative:page;mso-height-relative:page;" fillcolor="#FFFFFF" filled="t" stroked="t" coordsize="21600,21600" o:gfxdata="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DquLcDbAAAADQEAAA8AAAAAAAAAAQAgAAAAOAAAAGRycy9kb3ducmV2LnhtbFBL&#10;AQIUABQAAAAIAIdO4kBam9sKFgIAAEYEAAAOAAAAAAAAAAEAIAAAAEABAABkcnMvZTJvRG9jLnht&#10;bFBLBQYAAAAABgAGAFkBAADIBQAAAAA=&#10;">
                <v:fill on="t" focussize="0,0"/>
                <v:stroke color="#000000" joinstyle="miter"/>
                <v:imagedata o:title=""/>
                <o:lock v:ext="edit" aspectratio="f"/>
                <v:textbox>
                  <w:txbxContent>
                    <w:p>
                      <w:pPr>
                        <w:rPr>
                          <w:rFonts w:hint="eastAsia"/>
                        </w:rPr>
                      </w:pPr>
                      <w:r>
                        <w:rPr>
                          <w:rFonts w:hint="eastAsia"/>
                        </w:rPr>
                        <w:t>图例</w:t>
                      </w:r>
                    </w:p>
                    <w:p>
                      <w:pPr>
                        <w:rPr>
                          <w:rFonts w:hint="eastAsia"/>
                        </w:rPr>
                      </w:pPr>
                      <w:r>
                        <w:rPr>
                          <w:rFonts w:hint="eastAsia"/>
                        </w:rPr>
                        <w:t>工频电磁场监测点</w:t>
                      </w:r>
                      <w:r>
                        <w:drawing>
                          <wp:inline distT="0" distB="0" distL="114300" distR="114300">
                            <wp:extent cx="114300" cy="114300"/>
                            <wp:effectExtent l="0" t="0" r="12700" b="1270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58"/>
                                    <a:stretch>
                                      <a:fillRect/>
                                    </a:stretch>
                                  </pic:blipFill>
                                  <pic:spPr>
                                    <a:xfrm>
                                      <a:off x="0" y="0"/>
                                      <a:ext cx="114300" cy="114300"/>
                                    </a:xfrm>
                                    <a:prstGeom prst="rect">
                                      <a:avLst/>
                                    </a:prstGeom>
                                    <a:noFill/>
                                    <a:ln>
                                      <a:noFill/>
                                    </a:ln>
                                  </pic:spPr>
                                </pic:pic>
                              </a:graphicData>
                            </a:graphic>
                          </wp:inline>
                        </w:drawing>
                      </w:r>
                    </w:p>
                    <w:p>
                      <w:r>
                        <w:rPr>
                          <w:rFonts w:hint="eastAsia"/>
                        </w:rPr>
                        <w:t>噪声监测点</w:t>
                      </w:r>
                      <w:r>
                        <w:drawing>
                          <wp:inline distT="0" distB="0" distL="114300" distR="114300">
                            <wp:extent cx="149225" cy="123190"/>
                            <wp:effectExtent l="0" t="0" r="3175" b="381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59"/>
                                    <a:stretch>
                                      <a:fillRect/>
                                    </a:stretch>
                                  </pic:blipFill>
                                  <pic:spPr>
                                    <a:xfrm>
                                      <a:off x="0" y="0"/>
                                      <a:ext cx="149225" cy="123190"/>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2536825</wp:posOffset>
                </wp:positionH>
                <wp:positionV relativeFrom="paragraph">
                  <wp:posOffset>4864735</wp:posOffset>
                </wp:positionV>
                <wp:extent cx="4730115" cy="734695"/>
                <wp:effectExtent l="0" t="0" r="0" b="0"/>
                <wp:wrapNone/>
                <wp:docPr id="5" name="文本框 48"/>
                <wp:cNvGraphicFramePr/>
                <a:graphic xmlns:a="http://schemas.openxmlformats.org/drawingml/2006/main">
                  <a:graphicData uri="http://schemas.microsoft.com/office/word/2010/wordprocessingShape">
                    <wps:wsp>
                      <wps:cNvSpPr txBox="1"/>
                      <wps:spPr>
                        <a:xfrm>
                          <a:off x="0" y="0"/>
                          <a:ext cx="4730115" cy="734695"/>
                        </a:xfrm>
                        <a:prstGeom prst="rect">
                          <a:avLst/>
                        </a:prstGeom>
                        <a:noFill/>
                        <a:ln>
                          <a:noFill/>
                        </a:ln>
                      </wps:spPr>
                      <wps:txbx>
                        <w:txbxContent>
                          <w:p>
                            <w:pPr>
                              <w:rPr>
                                <w:sz w:val="28"/>
                                <w:szCs w:val="28"/>
                              </w:rPr>
                            </w:pPr>
                            <w:r>
                              <w:rPr>
                                <w:rFonts w:hint="eastAsia"/>
                                <w:sz w:val="28"/>
                                <w:szCs w:val="28"/>
                              </w:rPr>
                              <w:t>附图2  本项目线路工程监测布点图</w:t>
                            </w:r>
                          </w:p>
                        </w:txbxContent>
                      </wps:txbx>
                      <wps:bodyPr wrap="square" upright="1"/>
                    </wps:wsp>
                  </a:graphicData>
                </a:graphic>
              </wp:anchor>
            </w:drawing>
          </mc:Choice>
          <mc:Fallback>
            <w:pict>
              <v:shape id="文本框 48" o:spid="_x0000_s1026" o:spt="202" type="#_x0000_t202" style="position:absolute;left:0pt;margin-left:199.75pt;margin-top:383.05pt;height:57.85pt;width:372.45pt;z-index:251664384;mso-width-relative:page;mso-height-relative:page;" filled="f" stroked="f" coordsize="21600,21600" o:gfxdata="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IkRF/ZAAAADAEAAA8AAAAAAAAAAQAgAAAAOAAA&#10;AGRycy9kb3ducmV2LnhtbFBLAQIUABQAAAAIAIdO4kA78pEouAEAAF0DAAAOAAAAAAAAAAEAIAAA&#10;AD4BAABkcnMvZTJvRG9jLnhtbFBLBQYAAAAABgAGAFkBAABoBQAAAAA=&#10;">
                <v:fill on="f" focussize="0,0"/>
                <v:stroke on="f"/>
                <v:imagedata o:title=""/>
                <o:lock v:ext="edit" aspectratio="f"/>
                <v:textbox>
                  <w:txbxContent>
                    <w:p>
                      <w:pPr>
                        <w:rPr>
                          <w:sz w:val="28"/>
                          <w:szCs w:val="28"/>
                        </w:rPr>
                      </w:pPr>
                      <w:r>
                        <w:rPr>
                          <w:rFonts w:hint="eastAsia"/>
                          <w:sz w:val="28"/>
                          <w:szCs w:val="28"/>
                        </w:rPr>
                        <w:t>附图2  本项目线路工程监测布点图</w:t>
                      </w:r>
                    </w:p>
                  </w:txbxContent>
                </v:textbox>
              </v:shape>
            </w:pict>
          </mc:Fallback>
        </mc:AlternateContent>
      </w:r>
    </w:p>
    <w:p>
      <w:pPr>
        <w:sectPr>
          <w:pgSz w:w="16839" w:h="11907" w:orient="landscape"/>
          <w:pgMar w:top="1800" w:right="1440" w:bottom="1800" w:left="1440" w:header="851" w:footer="992" w:gutter="0"/>
          <w:cols w:space="425" w:num="1"/>
          <w:docGrid w:type="lines" w:linePitch="312" w:charSpace="0"/>
        </w:sectPr>
      </w:pPr>
    </w:p>
    <w:p>
      <w:pPr>
        <w:jc w:val="center"/>
        <w:sectPr>
          <w:pgSz w:w="16838" w:h="11906" w:orient="landscape"/>
          <w:pgMar w:top="1800" w:right="1440" w:bottom="1800" w:left="1440" w:header="851" w:footer="992" w:gutter="0"/>
          <w:cols w:space="425" w:num="1"/>
          <w:docGrid w:type="lines" w:linePitch="312" w:charSpace="0"/>
        </w:sectPr>
      </w:pPr>
      <w:r>
        <w:drawing>
          <wp:anchor distT="0" distB="0" distL="114300" distR="114300" simplePos="0" relativeHeight="251668480" behindDoc="0" locked="0" layoutInCell="1" allowOverlap="1">
            <wp:simplePos x="0" y="0"/>
            <wp:positionH relativeFrom="column">
              <wp:posOffset>441960</wp:posOffset>
            </wp:positionH>
            <wp:positionV relativeFrom="paragraph">
              <wp:posOffset>-173990</wp:posOffset>
            </wp:positionV>
            <wp:extent cx="7894320" cy="5203190"/>
            <wp:effectExtent l="12700" t="12700" r="17780" b="16510"/>
            <wp:wrapNone/>
            <wp:docPr id="9" name="图片 54" descr="附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descr="附图3"/>
                    <pic:cNvPicPr>
                      <a:picLocks noChangeAspect="1"/>
                    </pic:cNvPicPr>
                  </pic:nvPicPr>
                  <pic:blipFill>
                    <a:blip r:embed="rId60"/>
                    <a:srcRect l="6932" t="12195" r="7953" b="8232"/>
                    <a:stretch>
                      <a:fillRect/>
                    </a:stretch>
                  </pic:blipFill>
                  <pic:spPr>
                    <a:xfrm>
                      <a:off x="0" y="0"/>
                      <a:ext cx="7894320" cy="5203190"/>
                    </a:xfrm>
                    <a:prstGeom prst="rect">
                      <a:avLst/>
                    </a:prstGeom>
                    <a:noFill/>
                    <a:ln w="6350" cap="flat" cmpd="sng">
                      <a:solidFill>
                        <a:srgbClr val="000000"/>
                      </a:solidFill>
                      <a:prstDash val="solid"/>
                      <a:miter/>
                      <a:headEnd type="none" w="med" len="med"/>
                      <a:tailEnd type="none" w="med" len="med"/>
                    </a:ln>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column">
                  <wp:posOffset>2637790</wp:posOffset>
                </wp:positionH>
                <wp:positionV relativeFrom="paragraph">
                  <wp:posOffset>5029200</wp:posOffset>
                </wp:positionV>
                <wp:extent cx="3822065" cy="914400"/>
                <wp:effectExtent l="0" t="0" r="0" b="0"/>
                <wp:wrapNone/>
                <wp:docPr id="4" name="文本框 33"/>
                <wp:cNvGraphicFramePr/>
                <a:graphic xmlns:a="http://schemas.openxmlformats.org/drawingml/2006/main">
                  <a:graphicData uri="http://schemas.microsoft.com/office/word/2010/wordprocessingShape">
                    <wps:wsp>
                      <wps:cNvSpPr txBox="1"/>
                      <wps:spPr>
                        <a:xfrm>
                          <a:off x="0" y="0"/>
                          <a:ext cx="3822065" cy="914400"/>
                        </a:xfrm>
                        <a:prstGeom prst="rect">
                          <a:avLst/>
                        </a:prstGeom>
                        <a:noFill/>
                        <a:ln>
                          <a:noFill/>
                        </a:ln>
                      </wps:spPr>
                      <wps:txbx>
                        <w:txbxContent>
                          <w:p>
                            <w:pPr>
                              <w:jc w:val="center"/>
                              <w:rPr>
                                <w:sz w:val="28"/>
                                <w:szCs w:val="28"/>
                              </w:rPr>
                            </w:pPr>
                            <w:r>
                              <w:rPr>
                                <w:rFonts w:hint="eastAsia"/>
                                <w:sz w:val="28"/>
                                <w:szCs w:val="28"/>
                              </w:rPr>
                              <w:t xml:space="preserve">附图3  杆塔图 </w:t>
                            </w:r>
                          </w:p>
                        </w:txbxContent>
                      </wps:txbx>
                      <wps:bodyPr wrap="square" upright="1"/>
                    </wps:wsp>
                  </a:graphicData>
                </a:graphic>
              </wp:anchor>
            </w:drawing>
          </mc:Choice>
          <mc:Fallback>
            <w:pict>
              <v:shape id="文本框 33" o:spid="_x0000_s1026" o:spt="202" type="#_x0000_t202" style="position:absolute;left:0pt;margin-left:207.7pt;margin-top:396pt;height:72pt;width:300.95pt;z-index:251663360;mso-width-relative:page;mso-height-relative:page;" filled="f" stroked="f" coordsize="21600,21600" o:gfxdata="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BHPCFS2QAAAAwBAAAPAAAAAAAAAAEAIAAAADgA&#10;AABkcnMvZG93bnJldi54bWxQSwECFAAUAAAACACHTuJAADchsLkBAABdAwAADgAAAAAAAAABACAA&#10;AAA+AQAAZHJzL2Uyb0RvYy54bWxQSwUGAAAAAAYABgBZAQAAaQUAAAAA&#10;">
                <v:fill on="f" focussize="0,0"/>
                <v:stroke on="f"/>
                <v:imagedata o:title=""/>
                <o:lock v:ext="edit" aspectratio="f"/>
                <v:textbox>
                  <w:txbxContent>
                    <w:p>
                      <w:pPr>
                        <w:jc w:val="center"/>
                        <w:rPr>
                          <w:sz w:val="28"/>
                          <w:szCs w:val="28"/>
                        </w:rPr>
                      </w:pPr>
                      <w:r>
                        <w:rPr>
                          <w:rFonts w:hint="eastAsia"/>
                          <w:sz w:val="28"/>
                          <w:szCs w:val="28"/>
                        </w:rPr>
                        <w:t xml:space="preserve">附图3  杆塔图 </w:t>
                      </w:r>
                    </w:p>
                  </w:txbxContent>
                </v:textbox>
              </v:shape>
            </w:pict>
          </mc:Fallback>
        </mc:AlternateContent>
      </w:r>
    </w:p>
    <w:p>
      <w:r>
        <mc:AlternateContent>
          <mc:Choice Requires="wps">
            <w:drawing>
              <wp:anchor distT="0" distB="0" distL="114300" distR="114300" simplePos="0" relativeHeight="251662336" behindDoc="0" locked="0" layoutInCell="1" allowOverlap="1">
                <wp:simplePos x="0" y="0"/>
                <wp:positionH relativeFrom="column">
                  <wp:posOffset>868045</wp:posOffset>
                </wp:positionH>
                <wp:positionV relativeFrom="paragraph">
                  <wp:posOffset>8112760</wp:posOffset>
                </wp:positionV>
                <wp:extent cx="3822065" cy="914400"/>
                <wp:effectExtent l="0" t="0" r="0" b="0"/>
                <wp:wrapNone/>
                <wp:docPr id="3" name="文本框 32"/>
                <wp:cNvGraphicFramePr/>
                <a:graphic xmlns:a="http://schemas.openxmlformats.org/drawingml/2006/main">
                  <a:graphicData uri="http://schemas.microsoft.com/office/word/2010/wordprocessingShape">
                    <wps:wsp>
                      <wps:cNvSpPr txBox="1"/>
                      <wps:spPr>
                        <a:xfrm>
                          <a:off x="0" y="0"/>
                          <a:ext cx="3822065" cy="914400"/>
                        </a:xfrm>
                        <a:prstGeom prst="rect">
                          <a:avLst/>
                        </a:prstGeom>
                        <a:noFill/>
                        <a:ln>
                          <a:noFill/>
                        </a:ln>
                      </wps:spPr>
                      <wps:txbx>
                        <w:txbxContent>
                          <w:p>
                            <w:pPr>
                              <w:rPr>
                                <w:sz w:val="28"/>
                                <w:szCs w:val="28"/>
                              </w:rPr>
                            </w:pPr>
                            <w:r>
                              <w:rPr>
                                <w:rFonts w:hint="eastAsia"/>
                                <w:sz w:val="28"/>
                                <w:szCs w:val="28"/>
                              </w:rPr>
                              <w:t>附图4  本项目工程预测杆塔图</w:t>
                            </w:r>
                          </w:p>
                        </w:txbxContent>
                      </wps:txbx>
                      <wps:bodyPr wrap="square" upright="1"/>
                    </wps:wsp>
                  </a:graphicData>
                </a:graphic>
              </wp:anchor>
            </w:drawing>
          </mc:Choice>
          <mc:Fallback>
            <w:pict>
              <v:shape id="文本框 32" o:spid="_x0000_s1026" o:spt="202" type="#_x0000_t202" style="position:absolute;left:0pt;margin-left:68.35pt;margin-top:638.8pt;height:72pt;width:300.95pt;z-index:251662336;mso-width-relative:page;mso-height-relative:page;" filled="f" stroked="f" coordsize="21600,21600" o:gfxdata="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DmOXWG2QAAAA0BAAAPAAAAAAAAAAEAIAAAADgA&#10;AABkcnMvZG93bnJldi54bWxQSwECFAAUAAAACACHTuJA5kUso7kBAABdAwAADgAAAAAAAAABACAA&#10;AAA+AQAAZHJzL2Uyb0RvYy54bWxQSwUGAAAAAAYABgBZAQAAaQUAAAAA&#10;">
                <v:fill on="f" focussize="0,0"/>
                <v:stroke on="f"/>
                <v:imagedata o:title=""/>
                <o:lock v:ext="edit" aspectratio="f"/>
                <v:textbox>
                  <w:txbxContent>
                    <w:p>
                      <w:pPr>
                        <w:rPr>
                          <w:sz w:val="28"/>
                          <w:szCs w:val="28"/>
                        </w:rPr>
                      </w:pPr>
                      <w:r>
                        <w:rPr>
                          <w:rFonts w:hint="eastAsia"/>
                          <w:sz w:val="28"/>
                          <w:szCs w:val="28"/>
                        </w:rPr>
                        <w:t>附图4  本项目工程预测杆塔图</w:t>
                      </w:r>
                    </w:p>
                  </w:txbxContent>
                </v:textbox>
              </v:shape>
            </w:pict>
          </mc:Fallback>
        </mc:AlternateContent>
      </w:r>
      <w:r>
        <w:drawing>
          <wp:anchor distT="0" distB="0" distL="114300" distR="114300" simplePos="0" relativeHeight="251669504" behindDoc="0" locked="0" layoutInCell="1" allowOverlap="1">
            <wp:simplePos x="0" y="0"/>
            <wp:positionH relativeFrom="column">
              <wp:posOffset>1158240</wp:posOffset>
            </wp:positionH>
            <wp:positionV relativeFrom="paragraph">
              <wp:posOffset>0</wp:posOffset>
            </wp:positionV>
            <wp:extent cx="3355340" cy="7898765"/>
            <wp:effectExtent l="12700" t="12700" r="35560" b="13335"/>
            <wp:wrapNone/>
            <wp:docPr id="10" name="图片 55" descr="附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descr="附图4"/>
                    <pic:cNvPicPr>
                      <a:picLocks noChangeAspect="1"/>
                    </pic:cNvPicPr>
                  </pic:nvPicPr>
                  <pic:blipFill>
                    <a:blip r:embed="rId61"/>
                    <a:srcRect l="23438" t="4065" r="20938" b="3316"/>
                    <a:stretch>
                      <a:fillRect/>
                    </a:stretch>
                  </pic:blipFill>
                  <pic:spPr>
                    <a:xfrm>
                      <a:off x="0" y="0"/>
                      <a:ext cx="3355340" cy="7898765"/>
                    </a:xfrm>
                    <a:prstGeom prst="rect">
                      <a:avLst/>
                    </a:prstGeom>
                    <a:noFill/>
                    <a:ln w="6350" cap="flat" cmpd="sng">
                      <a:solidFill>
                        <a:srgbClr val="000000"/>
                      </a:solidFill>
                      <a:prstDash val="solid"/>
                      <a:miter/>
                      <a:headEnd type="none" w="med" len="med"/>
                      <a:tailEnd type="none" w="med" len="med"/>
                    </a:ln>
                  </pic:spPr>
                </pic:pic>
              </a:graphicData>
            </a:graphic>
          </wp:anchor>
        </w:drawing>
      </w:r>
    </w:p>
    <w:p>
      <w:pPr>
        <w:pStyle w:val="26"/>
        <w:sectPr>
          <w:pgSz w:w="11906" w:h="16838"/>
          <w:pgMar w:top="1440" w:right="1800" w:bottom="1440" w:left="1800" w:header="851" w:footer="992" w:gutter="0"/>
          <w:cols w:space="425" w:num="1"/>
          <w:docGrid w:type="lines" w:linePitch="312" w:charSpace="0"/>
        </w:sectPr>
      </w:pPr>
    </w:p>
    <w:p>
      <w:pPr>
        <w:pStyle w:val="26"/>
        <w:rPr>
          <w:rFonts w:hint="eastAsia"/>
        </w:rPr>
      </w:pPr>
      <w:r>
        <w:drawing>
          <wp:anchor distT="0" distB="0" distL="114300" distR="114300" simplePos="0" relativeHeight="251697152" behindDoc="0" locked="0" layoutInCell="1" allowOverlap="1">
            <wp:simplePos x="0" y="0"/>
            <wp:positionH relativeFrom="column">
              <wp:posOffset>29210</wp:posOffset>
            </wp:positionH>
            <wp:positionV relativeFrom="paragraph">
              <wp:posOffset>-62865</wp:posOffset>
            </wp:positionV>
            <wp:extent cx="3330575" cy="2246630"/>
            <wp:effectExtent l="12700" t="12700" r="34925" b="26670"/>
            <wp:wrapNone/>
            <wp:docPr id="37" name="图片 86" descr="IMG_20160119_10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6" descr="IMG_20160119_103225"/>
                    <pic:cNvPicPr>
                      <a:picLocks noChangeAspect="1"/>
                    </pic:cNvPicPr>
                  </pic:nvPicPr>
                  <pic:blipFill>
                    <a:blip r:embed="rId62"/>
                    <a:srcRect l="16321"/>
                    <a:stretch>
                      <a:fillRect/>
                    </a:stretch>
                  </pic:blipFill>
                  <pic:spPr>
                    <a:xfrm>
                      <a:off x="0" y="0"/>
                      <a:ext cx="3330575" cy="2246630"/>
                    </a:xfrm>
                    <a:prstGeom prst="rect">
                      <a:avLst/>
                    </a:prstGeom>
                    <a:noFill/>
                    <a:ln w="6350" cap="flat" cmpd="sng">
                      <a:solidFill>
                        <a:srgbClr val="000000"/>
                      </a:solidFill>
                      <a:prstDash val="solid"/>
                      <a:miter/>
                      <a:headEnd type="none" w="med" len="med"/>
                      <a:tailEnd type="none" w="med" len="med"/>
                    </a:ln>
                  </pic:spPr>
                </pic:pic>
              </a:graphicData>
            </a:graphic>
          </wp:anchor>
        </w:drawing>
      </w: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ind w:firstLine="1200" w:firstLineChars="500"/>
        <w:rPr>
          <w:rFonts w:hint="eastAsia"/>
          <w:sz w:val="24"/>
          <w:szCs w:val="24"/>
        </w:rPr>
      </w:pPr>
      <w:r>
        <w:rPr>
          <w:rFonts w:hint="eastAsia"/>
          <w:sz w:val="24"/>
          <w:szCs w:val="24"/>
        </w:rPr>
        <w:t>线路南侧贾庄村敏感点</w:t>
      </w:r>
    </w:p>
    <w:p>
      <w:pPr>
        <w:pStyle w:val="26"/>
        <w:ind w:firstLine="900" w:firstLineChars="500"/>
        <w:rPr>
          <w:rFonts w:hint="eastAsia"/>
          <w:sz w:val="24"/>
          <w:szCs w:val="24"/>
        </w:rPr>
      </w:pPr>
      <w:r>
        <w:drawing>
          <wp:anchor distT="0" distB="0" distL="114300" distR="114300" simplePos="0" relativeHeight="251698176" behindDoc="0" locked="0" layoutInCell="1" allowOverlap="1">
            <wp:simplePos x="0" y="0"/>
            <wp:positionH relativeFrom="column">
              <wp:posOffset>-28575</wp:posOffset>
            </wp:positionH>
            <wp:positionV relativeFrom="paragraph">
              <wp:posOffset>40005</wp:posOffset>
            </wp:positionV>
            <wp:extent cx="3267710" cy="2494280"/>
            <wp:effectExtent l="12700" t="12700" r="21590" b="33020"/>
            <wp:wrapNone/>
            <wp:docPr id="38" name="图片 87" descr="IMG_20160202_09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7" descr="IMG_20160202_093939"/>
                    <pic:cNvPicPr>
                      <a:picLocks noChangeAspect="1"/>
                    </pic:cNvPicPr>
                  </pic:nvPicPr>
                  <pic:blipFill>
                    <a:blip r:embed="rId63"/>
                    <a:srcRect r="26109"/>
                    <a:stretch>
                      <a:fillRect/>
                    </a:stretch>
                  </pic:blipFill>
                  <pic:spPr>
                    <a:xfrm>
                      <a:off x="0" y="0"/>
                      <a:ext cx="3267710" cy="2494280"/>
                    </a:xfrm>
                    <a:prstGeom prst="rect">
                      <a:avLst/>
                    </a:prstGeom>
                    <a:noFill/>
                    <a:ln w="6350" cap="flat" cmpd="sng">
                      <a:solidFill>
                        <a:srgbClr val="000000"/>
                      </a:solidFill>
                      <a:prstDash val="solid"/>
                      <a:miter/>
                      <a:headEnd type="none" w="med" len="med"/>
                      <a:tailEnd type="none" w="med" len="med"/>
                    </a:ln>
                  </pic:spPr>
                </pic:pic>
              </a:graphicData>
            </a:graphic>
          </wp:anchor>
        </w:drawing>
      </w: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p>
    <w:p>
      <w:pPr>
        <w:pStyle w:val="26"/>
        <w:ind w:firstLine="1200" w:firstLineChars="500"/>
        <w:rPr>
          <w:rFonts w:hint="eastAsia"/>
          <w:sz w:val="24"/>
          <w:szCs w:val="24"/>
        </w:rPr>
      </w:pPr>
      <w:r>
        <w:rPr>
          <w:rFonts w:hint="eastAsia"/>
          <w:sz w:val="24"/>
          <w:szCs w:val="24"/>
        </w:rPr>
        <w:t>线路北侧贾庄村敏感点</w:t>
      </w:r>
    </w:p>
    <w:p>
      <w:pPr>
        <w:pStyle w:val="26"/>
        <w:ind w:firstLine="900" w:firstLineChars="500"/>
        <w:rPr>
          <w:rFonts w:hint="eastAsia"/>
          <w:sz w:val="24"/>
          <w:szCs w:val="24"/>
        </w:rPr>
      </w:pPr>
      <w:r>
        <w:drawing>
          <wp:anchor distT="0" distB="0" distL="114300" distR="114300" simplePos="0" relativeHeight="251699200" behindDoc="0" locked="0" layoutInCell="1" allowOverlap="1">
            <wp:simplePos x="0" y="0"/>
            <wp:positionH relativeFrom="column">
              <wp:posOffset>414020</wp:posOffset>
            </wp:positionH>
            <wp:positionV relativeFrom="paragraph">
              <wp:posOffset>-160020</wp:posOffset>
            </wp:positionV>
            <wp:extent cx="3433445" cy="2416175"/>
            <wp:effectExtent l="12700" t="12700" r="33655" b="34925"/>
            <wp:wrapNone/>
            <wp:docPr id="39" name="图片 88" descr="IMG_20160119_10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8" descr="IMG_20160119_104702"/>
                    <pic:cNvPicPr>
                      <a:picLocks noChangeAspect="1"/>
                    </pic:cNvPicPr>
                  </pic:nvPicPr>
                  <pic:blipFill>
                    <a:blip r:embed="rId64"/>
                    <a:srcRect r="19841"/>
                    <a:stretch>
                      <a:fillRect/>
                    </a:stretch>
                  </pic:blipFill>
                  <pic:spPr>
                    <a:xfrm>
                      <a:off x="0" y="0"/>
                      <a:ext cx="3433445" cy="2416175"/>
                    </a:xfrm>
                    <a:prstGeom prst="rect">
                      <a:avLst/>
                    </a:prstGeom>
                    <a:noFill/>
                    <a:ln w="6350" cap="flat" cmpd="sng">
                      <a:solidFill>
                        <a:srgbClr val="000000"/>
                      </a:solidFill>
                      <a:prstDash val="solid"/>
                      <a:miter/>
                      <a:headEnd type="none" w="med" len="med"/>
                      <a:tailEnd type="none" w="med" len="med"/>
                    </a:ln>
                  </pic:spPr>
                </pic:pic>
              </a:graphicData>
            </a:graphic>
          </wp:anchor>
        </w:drawing>
      </w: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rPr>
          <w:rFonts w:hint="eastAsia"/>
        </w:rPr>
      </w:pPr>
    </w:p>
    <w:p>
      <w:pPr>
        <w:pStyle w:val="26"/>
        <w:jc w:val="center"/>
        <w:rPr>
          <w:rFonts w:hint="eastAsia"/>
          <w:sz w:val="24"/>
          <w:szCs w:val="24"/>
        </w:rPr>
      </w:pPr>
      <w:r>
        <w:rPr>
          <w:sz w:val="24"/>
          <w:szCs w:val="24"/>
        </w:rPr>
        <mc:AlternateContent>
          <mc:Choice Requires="wps">
            <w:drawing>
              <wp:anchor distT="0" distB="0" distL="114300" distR="114300" simplePos="0" relativeHeight="251696128" behindDoc="0" locked="0" layoutInCell="1" allowOverlap="1">
                <wp:simplePos x="0" y="0"/>
                <wp:positionH relativeFrom="column">
                  <wp:posOffset>1020445</wp:posOffset>
                </wp:positionH>
                <wp:positionV relativeFrom="paragraph">
                  <wp:posOffset>7490460</wp:posOffset>
                </wp:positionV>
                <wp:extent cx="3822065" cy="914400"/>
                <wp:effectExtent l="0" t="0" r="0" b="0"/>
                <wp:wrapNone/>
                <wp:docPr id="36" name="文本框 85"/>
                <wp:cNvGraphicFramePr/>
                <a:graphic xmlns:a="http://schemas.openxmlformats.org/drawingml/2006/main">
                  <a:graphicData uri="http://schemas.microsoft.com/office/word/2010/wordprocessingShape">
                    <wps:wsp>
                      <wps:cNvSpPr txBox="1"/>
                      <wps:spPr>
                        <a:xfrm>
                          <a:off x="0" y="0"/>
                          <a:ext cx="3822065" cy="914400"/>
                        </a:xfrm>
                        <a:prstGeom prst="rect">
                          <a:avLst/>
                        </a:prstGeom>
                        <a:noFill/>
                        <a:ln>
                          <a:noFill/>
                        </a:ln>
                      </wps:spPr>
                      <wps:txbx>
                        <w:txbxContent>
                          <w:p>
                            <w:pPr>
                              <w:rPr>
                                <w:sz w:val="28"/>
                                <w:szCs w:val="28"/>
                              </w:rPr>
                            </w:pPr>
                            <w:r>
                              <w:rPr>
                                <w:rFonts w:hint="eastAsia"/>
                                <w:sz w:val="28"/>
                                <w:szCs w:val="28"/>
                              </w:rPr>
                              <w:t>附图5  现场照片</w:t>
                            </w:r>
                          </w:p>
                        </w:txbxContent>
                      </wps:txbx>
                      <wps:bodyPr wrap="square" upright="1"/>
                    </wps:wsp>
                  </a:graphicData>
                </a:graphic>
              </wp:anchor>
            </w:drawing>
          </mc:Choice>
          <mc:Fallback>
            <w:pict>
              <v:shape id="文本框 85" o:spid="_x0000_s1026" o:spt="202" type="#_x0000_t202" style="position:absolute;left:0pt;margin-left:80.35pt;margin-top:589.8pt;height:72pt;width:300.95pt;z-index:251696128;mso-width-relative:page;mso-height-relative:page;" filled="f" stroked="f" coordsize="21600,21600" o:gfxdata="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Aupyy22AAAAA0BAAAPAAAAAAAAAAEAIAAAADgA&#10;AABkcnMvZG93bnJldi54bWxQSwECFAAUAAAACACHTuJA7knlMLoBAABeAwAADgAAAAAAAAABACAA&#10;AAA9AQAAZHJzL2Uyb0RvYy54bWxQSwUGAAAAAAYABgBZAQAAaQUAAAAA&#10;">
                <v:fill on="f" focussize="0,0"/>
                <v:stroke on="f"/>
                <v:imagedata o:title=""/>
                <o:lock v:ext="edit" aspectratio="f"/>
                <v:textbox>
                  <w:txbxContent>
                    <w:p>
                      <w:pPr>
                        <w:rPr>
                          <w:sz w:val="28"/>
                          <w:szCs w:val="28"/>
                        </w:rPr>
                      </w:pPr>
                      <w:r>
                        <w:rPr>
                          <w:rFonts w:hint="eastAsia"/>
                          <w:sz w:val="28"/>
                          <w:szCs w:val="28"/>
                        </w:rPr>
                        <w:t>附图5  现场照片</w:t>
                      </w:r>
                    </w:p>
                  </w:txbxContent>
                </v:textbox>
              </v:shape>
            </w:pict>
          </mc:Fallback>
        </mc:AlternateContent>
      </w:r>
      <w:r>
        <w:rPr>
          <w:rFonts w:hint="eastAsia"/>
          <w:sz w:val="24"/>
          <w:szCs w:val="24"/>
        </w:rPr>
        <w:t>规划学校拟建空地</w:t>
      </w:r>
    </w:p>
    <w:p>
      <w:pPr>
        <w:pStyle w:val="26"/>
        <w:jc w:val="center"/>
        <w:rPr>
          <w:rFonts w:hint="eastAsia"/>
          <w:sz w:val="24"/>
          <w:szCs w:val="24"/>
        </w:rPr>
      </w:pPr>
      <w:r>
        <w:drawing>
          <wp:anchor distT="0" distB="0" distL="114300" distR="114300" simplePos="0" relativeHeight="251700224" behindDoc="0" locked="0" layoutInCell="1" allowOverlap="1">
            <wp:simplePos x="0" y="0"/>
            <wp:positionH relativeFrom="column">
              <wp:posOffset>414020</wp:posOffset>
            </wp:positionH>
            <wp:positionV relativeFrom="paragraph">
              <wp:posOffset>49530</wp:posOffset>
            </wp:positionV>
            <wp:extent cx="3463290" cy="2324735"/>
            <wp:effectExtent l="12700" t="12700" r="29210" b="24765"/>
            <wp:wrapNone/>
            <wp:docPr id="40" name="图片 89" descr="IMG_20160119_10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9" descr="IMG_20160119_104846"/>
                    <pic:cNvPicPr>
                      <a:picLocks noChangeAspect="1"/>
                    </pic:cNvPicPr>
                  </pic:nvPicPr>
                  <pic:blipFill>
                    <a:blip r:embed="rId65"/>
                    <a:srcRect l="4964" r="11563"/>
                    <a:stretch>
                      <a:fillRect/>
                    </a:stretch>
                  </pic:blipFill>
                  <pic:spPr>
                    <a:xfrm>
                      <a:off x="0" y="0"/>
                      <a:ext cx="3463290" cy="2324735"/>
                    </a:xfrm>
                    <a:prstGeom prst="rect">
                      <a:avLst/>
                    </a:prstGeom>
                    <a:noFill/>
                    <a:ln w="6350" cap="flat" cmpd="sng">
                      <a:solidFill>
                        <a:srgbClr val="000000"/>
                      </a:solidFill>
                      <a:prstDash val="solid"/>
                      <a:miter/>
                      <a:headEnd type="none" w="med" len="med"/>
                      <a:tailEnd type="none" w="med" len="med"/>
                    </a:ln>
                  </pic:spPr>
                </pic:pic>
              </a:graphicData>
            </a:graphic>
          </wp:anchor>
        </w:drawing>
      </w:r>
    </w:p>
    <w:p>
      <w:pPr>
        <w:pStyle w:val="26"/>
        <w:jc w:val="center"/>
        <w:rPr>
          <w:rFonts w:hint="eastAsia"/>
          <w:sz w:val="24"/>
          <w:szCs w:val="24"/>
        </w:rPr>
      </w:pPr>
    </w:p>
    <w:p>
      <w:pPr>
        <w:pStyle w:val="26"/>
        <w:jc w:val="center"/>
        <w:rPr>
          <w:rFonts w:hint="eastAsia"/>
          <w:sz w:val="24"/>
          <w:szCs w:val="24"/>
        </w:rPr>
      </w:pPr>
    </w:p>
    <w:p>
      <w:pPr>
        <w:pStyle w:val="26"/>
        <w:jc w:val="center"/>
        <w:rPr>
          <w:rFonts w:hint="eastAsia"/>
          <w:sz w:val="24"/>
          <w:szCs w:val="24"/>
        </w:rPr>
      </w:pPr>
    </w:p>
    <w:p>
      <w:pPr>
        <w:pStyle w:val="26"/>
        <w:jc w:val="center"/>
        <w:rPr>
          <w:rFonts w:hint="eastAsia"/>
          <w:sz w:val="24"/>
          <w:szCs w:val="24"/>
        </w:rPr>
      </w:pPr>
    </w:p>
    <w:p>
      <w:pPr>
        <w:pStyle w:val="26"/>
        <w:jc w:val="center"/>
        <w:rPr>
          <w:rFonts w:hint="eastAsia"/>
          <w:sz w:val="24"/>
          <w:szCs w:val="24"/>
        </w:rPr>
      </w:pPr>
    </w:p>
    <w:p>
      <w:pPr>
        <w:pStyle w:val="26"/>
        <w:jc w:val="center"/>
        <w:rPr>
          <w:rFonts w:hint="eastAsia"/>
          <w:sz w:val="24"/>
          <w:szCs w:val="24"/>
        </w:rPr>
      </w:pPr>
    </w:p>
    <w:p>
      <w:pPr>
        <w:pStyle w:val="26"/>
        <w:jc w:val="center"/>
        <w:rPr>
          <w:rFonts w:hint="eastAsia"/>
          <w:sz w:val="24"/>
          <w:szCs w:val="24"/>
        </w:rPr>
      </w:pPr>
    </w:p>
    <w:p>
      <w:pPr>
        <w:pStyle w:val="26"/>
        <w:jc w:val="center"/>
        <w:rPr>
          <w:rFonts w:hint="eastAsia"/>
          <w:sz w:val="24"/>
          <w:szCs w:val="24"/>
        </w:rPr>
      </w:pPr>
    </w:p>
    <w:p>
      <w:pPr>
        <w:pStyle w:val="26"/>
        <w:jc w:val="center"/>
        <w:rPr>
          <w:rFonts w:hint="eastAsia"/>
          <w:sz w:val="24"/>
          <w:szCs w:val="24"/>
        </w:rPr>
      </w:pPr>
    </w:p>
    <w:p>
      <w:pPr>
        <w:pStyle w:val="26"/>
        <w:jc w:val="center"/>
        <w:rPr>
          <w:rFonts w:hint="eastAsia"/>
          <w:sz w:val="24"/>
          <w:szCs w:val="24"/>
        </w:rPr>
      </w:pPr>
    </w:p>
    <w:p>
      <w:pPr>
        <w:pStyle w:val="26"/>
        <w:jc w:val="center"/>
        <w:rPr>
          <w:rFonts w:hint="eastAsia"/>
          <w:sz w:val="24"/>
          <w:szCs w:val="24"/>
        </w:rPr>
      </w:pPr>
    </w:p>
    <w:p>
      <w:pPr>
        <w:pStyle w:val="26"/>
        <w:jc w:val="center"/>
        <w:rPr>
          <w:rFonts w:hint="eastAsia"/>
          <w:sz w:val="24"/>
          <w:szCs w:val="24"/>
        </w:rPr>
      </w:pPr>
    </w:p>
    <w:p>
      <w:pPr>
        <w:pStyle w:val="26"/>
        <w:jc w:val="center"/>
        <w:rPr>
          <w:rFonts w:hint="eastAsia"/>
          <w:sz w:val="24"/>
          <w:szCs w:val="24"/>
        </w:rPr>
      </w:pPr>
    </w:p>
    <w:p>
      <w:pPr>
        <w:pStyle w:val="26"/>
        <w:jc w:val="center"/>
        <w:rPr>
          <w:sz w:val="24"/>
          <w:szCs w:val="24"/>
        </w:rPr>
      </w:pPr>
      <w:r>
        <w:rPr>
          <w:rFonts w:hint="eastAsia"/>
          <w:sz w:val="24"/>
          <w:szCs w:val="24"/>
        </w:rPr>
        <w:t>规划居住区拟建空地</w:t>
      </w:r>
    </w:p>
    <w:sectPr>
      <w:pgSz w:w="16838" w:h="11906" w:orient="landscape"/>
      <w:pgMar w:top="1800" w:right="1440" w:bottom="1800" w:left="1440" w:header="851" w:footer="992" w:gutter="0"/>
      <w:cols w:space="425"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00"/>
    <w:family w:val="modern"/>
    <w:pitch w:val="default"/>
    <w:sig w:usb0="00000000" w:usb1="00000000" w:usb2="00000010" w:usb3="00000000" w:csb0="00040000" w:csb1="00000000"/>
  </w:font>
  <w:font w:name="楷体_GB2312">
    <w:altName w:val="汉仪楷体简"/>
    <w:panose1 w:val="02010609030101010101"/>
    <w:charset w:val="00"/>
    <w:family w:val="modern"/>
    <w:pitch w:val="default"/>
    <w:sig w:usb0="00000000" w:usb1="00000000" w:usb2="00000010" w:usb3="00000000" w:csb0="00040000" w:csb1="00000000"/>
  </w:font>
  <w:font w:name="Cambria">
    <w:altName w:val="苹方-简"/>
    <w:panose1 w:val="02040503050406030204"/>
    <w:charset w:val="00"/>
    <w:family w:val="roman"/>
    <w:pitch w:val="default"/>
    <w:sig w:usb0="00000000" w:usb1="00000000" w:usb2="00000000" w:usb3="00000000" w:csb0="0000009F" w:csb1="00000000"/>
  </w:font>
  <w:font w:name="Courier">
    <w:altName w:val="苹方-简"/>
    <w:panose1 w:val="02070409020205020404"/>
    <w:charset w:val="00"/>
    <w:family w:val="modern"/>
    <w:pitch w:val="default"/>
    <w:sig w:usb0="00000000" w:usb1="00000000" w:usb2="00000000" w:usb3="00000000" w:csb0="00000001" w:csb1="00000000"/>
  </w:font>
  <w:font w:name="Tahoma">
    <w:panose1 w:val="020B0604030504040204"/>
    <w:charset w:val="00"/>
    <w:family w:val="swiss"/>
    <w:pitch w:val="default"/>
    <w:sig w:usb0="E1002AFF" w:usb1="C000605B" w:usb2="00000029" w:usb3="00000000" w:csb0="200101FF" w:csb1="20280000"/>
  </w:font>
  <w:font w:name="微软雅黑">
    <w:altName w:val="汉仪旗黑"/>
    <w:panose1 w:val="020B0503020204020204"/>
    <w:charset w:val="00"/>
    <w:family w:val="swiss"/>
    <w:pitch w:val="default"/>
    <w:sig w:usb0="00000000" w:usb1="00000000" w:usb2="00000016" w:usb3="00000000" w:csb0="0004001F" w:csb1="00000000"/>
  </w:font>
  <w:font w:name="Verdana">
    <w:panose1 w:val="020B0804030504040204"/>
    <w:charset w:val="00"/>
    <w:family w:val="swiss"/>
    <w:pitch w:val="default"/>
    <w:sig w:usb0="A10006FF" w:usb1="4000205B" w:usb2="00000010" w:usb3="00000000" w:csb0="2000019F" w:csb1="00000000"/>
  </w:font>
  <w:font w:name="Times">
    <w:panose1 w:val="00000500000000020000"/>
    <w:charset w:val="00"/>
    <w:family w:val="roman"/>
    <w:pitch w:val="default"/>
    <w:sig w:usb0="E00002FF" w:usb1="5000205A" w:usb2="00000000" w:usb3="00000000" w:csb0="2000019F" w:csb1="4F010000"/>
  </w:font>
  <w:font w:name="Arial Unicode MS">
    <w:panose1 w:val="020B0604020202020204"/>
    <w:charset w:val="86"/>
    <w:family w:val="swiss"/>
    <w:pitch w:val="default"/>
    <w:sig w:usb0="FFFFFFFF" w:usb1="E9FFFFFF" w:usb2="0000003F" w:usb3="00000000" w:csb0="603F01FF" w:csb1="FFFF0000"/>
  </w:font>
  <w:font w:name="仿宋">
    <w:altName w:val="方正仿宋_GBK"/>
    <w:panose1 w:val="02010609060101010101"/>
    <w:charset w:val="00"/>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苹方-简">
    <w:panose1 w:val="020B0400000000000000"/>
    <w:charset w:val="86"/>
    <w:family w:val="auto"/>
    <w:pitch w:val="default"/>
    <w:sig w:usb0="A00002FF" w:usb1="7ACFFDFB" w:usb2="00000017" w:usb3="00000000" w:csb0="00040001" w:csb1="00000000"/>
  </w:font>
  <w:font w:name="汉仪楷体简">
    <w:panose1 w:val="02010600000101010101"/>
    <w:charset w:val="86"/>
    <w:family w:val="auto"/>
    <w:pitch w:val="default"/>
    <w:sig w:usb0="00000001" w:usb1="080E0800" w:usb2="00000002"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720"/>
      <w:jc w:val="center"/>
      <w:rPr>
        <w:rFonts w:hint="eastAsia" w:ascii="宋体" w:hAnsi="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7"/>
      </w:rPr>
    </w:pPr>
    <w:r>
      <w:fldChar w:fldCharType="begin"/>
    </w:r>
    <w:r>
      <w:rPr>
        <w:rStyle w:val="47"/>
      </w:rPr>
      <w:instrText xml:space="preserve">PAGE  </w:instrText>
    </w:r>
    <w:r>
      <w:fldChar w:fldCharType="separate"/>
    </w:r>
    <w:r>
      <w:rPr>
        <w:rStyle w:val="47"/>
      </w:rPr>
      <w:t>- 1 -</w:t>
    </w:r>
    <w:r>
      <w:fldChar w:fldCharType="end"/>
    </w:r>
  </w:p>
  <w:p>
    <w:pPr>
      <w:pStyle w:val="2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 PAGE   \* MERGEFORMAT </w:instrText>
    </w:r>
    <w:r>
      <w:fldChar w:fldCharType="separate"/>
    </w:r>
    <w:r>
      <w:rPr>
        <w:lang w:val="zh-CN"/>
      </w:rPr>
      <w:t>2</w:t>
    </w:r>
    <w:r>
      <w:fldChar w:fldCharType="end"/>
    </w:r>
  </w:p>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decimal"/>
      <w:lvlText w:val="%1."/>
      <w:lvlJc w:val="left"/>
      <w:pPr>
        <w:tabs>
          <w:tab w:val="left" w:pos="842"/>
        </w:tabs>
        <w:ind w:left="0" w:firstLine="48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DF9"/>
    <w:rsid w:val="00030D07"/>
    <w:rsid w:val="000323D5"/>
    <w:rsid w:val="00036301"/>
    <w:rsid w:val="00041138"/>
    <w:rsid w:val="0004271A"/>
    <w:rsid w:val="00054EE8"/>
    <w:rsid w:val="00055D09"/>
    <w:rsid w:val="00062861"/>
    <w:rsid w:val="00063814"/>
    <w:rsid w:val="00066EDD"/>
    <w:rsid w:val="000826CC"/>
    <w:rsid w:val="00082910"/>
    <w:rsid w:val="000835E0"/>
    <w:rsid w:val="00083E27"/>
    <w:rsid w:val="00085EFD"/>
    <w:rsid w:val="000A1BC4"/>
    <w:rsid w:val="000A2427"/>
    <w:rsid w:val="000A32C6"/>
    <w:rsid w:val="000A3D68"/>
    <w:rsid w:val="000A4433"/>
    <w:rsid w:val="000B05DE"/>
    <w:rsid w:val="000B39AD"/>
    <w:rsid w:val="000B3FEB"/>
    <w:rsid w:val="000C3D54"/>
    <w:rsid w:val="000D3405"/>
    <w:rsid w:val="000D5D67"/>
    <w:rsid w:val="000D671F"/>
    <w:rsid w:val="000F0EE3"/>
    <w:rsid w:val="000F1589"/>
    <w:rsid w:val="000F5472"/>
    <w:rsid w:val="00104381"/>
    <w:rsid w:val="00116F99"/>
    <w:rsid w:val="00124A24"/>
    <w:rsid w:val="00124E38"/>
    <w:rsid w:val="00126DE5"/>
    <w:rsid w:val="00127324"/>
    <w:rsid w:val="00136567"/>
    <w:rsid w:val="00146A0A"/>
    <w:rsid w:val="00147B45"/>
    <w:rsid w:val="00152E18"/>
    <w:rsid w:val="00153F77"/>
    <w:rsid w:val="001622CD"/>
    <w:rsid w:val="00166678"/>
    <w:rsid w:val="001678F8"/>
    <w:rsid w:val="001733CC"/>
    <w:rsid w:val="0017411F"/>
    <w:rsid w:val="00182A53"/>
    <w:rsid w:val="001837C9"/>
    <w:rsid w:val="00185ED4"/>
    <w:rsid w:val="00185FC3"/>
    <w:rsid w:val="001879CC"/>
    <w:rsid w:val="00190481"/>
    <w:rsid w:val="00194F07"/>
    <w:rsid w:val="001A39D1"/>
    <w:rsid w:val="001A3D1B"/>
    <w:rsid w:val="001A748D"/>
    <w:rsid w:val="001B1FBB"/>
    <w:rsid w:val="001B449A"/>
    <w:rsid w:val="001C12A9"/>
    <w:rsid w:val="001C192D"/>
    <w:rsid w:val="001C4692"/>
    <w:rsid w:val="001C6714"/>
    <w:rsid w:val="001D21C3"/>
    <w:rsid w:val="001D29D7"/>
    <w:rsid w:val="001E093A"/>
    <w:rsid w:val="001E20F6"/>
    <w:rsid w:val="001E2CDD"/>
    <w:rsid w:val="001F36A7"/>
    <w:rsid w:val="001F6F84"/>
    <w:rsid w:val="002001EE"/>
    <w:rsid w:val="00200F5F"/>
    <w:rsid w:val="00201565"/>
    <w:rsid w:val="00203888"/>
    <w:rsid w:val="00213571"/>
    <w:rsid w:val="0022282A"/>
    <w:rsid w:val="00225B40"/>
    <w:rsid w:val="002261DD"/>
    <w:rsid w:val="00227577"/>
    <w:rsid w:val="00230271"/>
    <w:rsid w:val="00231951"/>
    <w:rsid w:val="0023328B"/>
    <w:rsid w:val="002340F0"/>
    <w:rsid w:val="0023476D"/>
    <w:rsid w:val="002377F6"/>
    <w:rsid w:val="00251BD7"/>
    <w:rsid w:val="00262994"/>
    <w:rsid w:val="002710D1"/>
    <w:rsid w:val="00271B10"/>
    <w:rsid w:val="00272C4A"/>
    <w:rsid w:val="00282DC6"/>
    <w:rsid w:val="002902FF"/>
    <w:rsid w:val="00290CA1"/>
    <w:rsid w:val="00294660"/>
    <w:rsid w:val="002952B8"/>
    <w:rsid w:val="002A4A59"/>
    <w:rsid w:val="002B384A"/>
    <w:rsid w:val="002C3073"/>
    <w:rsid w:val="002D154C"/>
    <w:rsid w:val="002D380C"/>
    <w:rsid w:val="002D6272"/>
    <w:rsid w:val="002D6824"/>
    <w:rsid w:val="002D6C94"/>
    <w:rsid w:val="002E4059"/>
    <w:rsid w:val="002E586F"/>
    <w:rsid w:val="002E7BA4"/>
    <w:rsid w:val="002F32A6"/>
    <w:rsid w:val="00306913"/>
    <w:rsid w:val="00312BB6"/>
    <w:rsid w:val="00313F51"/>
    <w:rsid w:val="00316871"/>
    <w:rsid w:val="0032002E"/>
    <w:rsid w:val="00320590"/>
    <w:rsid w:val="0032157C"/>
    <w:rsid w:val="00323D5A"/>
    <w:rsid w:val="00327E1C"/>
    <w:rsid w:val="00331813"/>
    <w:rsid w:val="00332CE4"/>
    <w:rsid w:val="00342039"/>
    <w:rsid w:val="00346825"/>
    <w:rsid w:val="00347098"/>
    <w:rsid w:val="00353EDF"/>
    <w:rsid w:val="00356A39"/>
    <w:rsid w:val="00365B8C"/>
    <w:rsid w:val="0037411B"/>
    <w:rsid w:val="00375734"/>
    <w:rsid w:val="003764DF"/>
    <w:rsid w:val="00385325"/>
    <w:rsid w:val="00392369"/>
    <w:rsid w:val="003927AA"/>
    <w:rsid w:val="003A26B1"/>
    <w:rsid w:val="003A6713"/>
    <w:rsid w:val="003B013D"/>
    <w:rsid w:val="003B176D"/>
    <w:rsid w:val="003B25E6"/>
    <w:rsid w:val="003B74C2"/>
    <w:rsid w:val="003B7F99"/>
    <w:rsid w:val="003C0C21"/>
    <w:rsid w:val="003C0F6B"/>
    <w:rsid w:val="003C6A35"/>
    <w:rsid w:val="003C71D3"/>
    <w:rsid w:val="003E0513"/>
    <w:rsid w:val="003F365C"/>
    <w:rsid w:val="003F526A"/>
    <w:rsid w:val="003F73E0"/>
    <w:rsid w:val="0040412B"/>
    <w:rsid w:val="004053BD"/>
    <w:rsid w:val="004109FB"/>
    <w:rsid w:val="00410B39"/>
    <w:rsid w:val="00413C57"/>
    <w:rsid w:val="00415D7D"/>
    <w:rsid w:val="00415E73"/>
    <w:rsid w:val="0041757F"/>
    <w:rsid w:val="00421B1B"/>
    <w:rsid w:val="00430D3B"/>
    <w:rsid w:val="00434B07"/>
    <w:rsid w:val="00436494"/>
    <w:rsid w:val="00440817"/>
    <w:rsid w:val="0044334D"/>
    <w:rsid w:val="00447D88"/>
    <w:rsid w:val="00453191"/>
    <w:rsid w:val="004606AB"/>
    <w:rsid w:val="0046668D"/>
    <w:rsid w:val="00477097"/>
    <w:rsid w:val="004830A3"/>
    <w:rsid w:val="0048496C"/>
    <w:rsid w:val="00486AA4"/>
    <w:rsid w:val="00492D82"/>
    <w:rsid w:val="004A471E"/>
    <w:rsid w:val="004A4B73"/>
    <w:rsid w:val="004B3B9F"/>
    <w:rsid w:val="004C72CA"/>
    <w:rsid w:val="004C74B5"/>
    <w:rsid w:val="004E4F13"/>
    <w:rsid w:val="004E704B"/>
    <w:rsid w:val="004F1150"/>
    <w:rsid w:val="004F4E5B"/>
    <w:rsid w:val="0051516D"/>
    <w:rsid w:val="005160DF"/>
    <w:rsid w:val="00525848"/>
    <w:rsid w:val="00533C30"/>
    <w:rsid w:val="00540932"/>
    <w:rsid w:val="00544B0C"/>
    <w:rsid w:val="005455FA"/>
    <w:rsid w:val="0055427D"/>
    <w:rsid w:val="00554AB1"/>
    <w:rsid w:val="00564E1A"/>
    <w:rsid w:val="005734E9"/>
    <w:rsid w:val="00581145"/>
    <w:rsid w:val="005825A9"/>
    <w:rsid w:val="00583CF0"/>
    <w:rsid w:val="00584967"/>
    <w:rsid w:val="005864E8"/>
    <w:rsid w:val="0059056D"/>
    <w:rsid w:val="0059327F"/>
    <w:rsid w:val="005941EF"/>
    <w:rsid w:val="00595D5D"/>
    <w:rsid w:val="00596F5C"/>
    <w:rsid w:val="005A523C"/>
    <w:rsid w:val="005B0A3E"/>
    <w:rsid w:val="005B1080"/>
    <w:rsid w:val="005B31EA"/>
    <w:rsid w:val="005B4808"/>
    <w:rsid w:val="005B51CF"/>
    <w:rsid w:val="005B5620"/>
    <w:rsid w:val="005B6D40"/>
    <w:rsid w:val="005C5A6A"/>
    <w:rsid w:val="005C6DA4"/>
    <w:rsid w:val="005D2531"/>
    <w:rsid w:val="005D451F"/>
    <w:rsid w:val="005E05C3"/>
    <w:rsid w:val="005E18EF"/>
    <w:rsid w:val="005E3519"/>
    <w:rsid w:val="005E6318"/>
    <w:rsid w:val="005F2D84"/>
    <w:rsid w:val="005F3BB7"/>
    <w:rsid w:val="005F7684"/>
    <w:rsid w:val="0060549C"/>
    <w:rsid w:val="00611F15"/>
    <w:rsid w:val="00614FC0"/>
    <w:rsid w:val="00622578"/>
    <w:rsid w:val="00623BFB"/>
    <w:rsid w:val="00642AAC"/>
    <w:rsid w:val="00652E31"/>
    <w:rsid w:val="00664298"/>
    <w:rsid w:val="00666B8A"/>
    <w:rsid w:val="00674856"/>
    <w:rsid w:val="0069068B"/>
    <w:rsid w:val="00694C20"/>
    <w:rsid w:val="00694CD5"/>
    <w:rsid w:val="00696EEC"/>
    <w:rsid w:val="00697838"/>
    <w:rsid w:val="006A1597"/>
    <w:rsid w:val="006A6144"/>
    <w:rsid w:val="006C335E"/>
    <w:rsid w:val="006C444E"/>
    <w:rsid w:val="006C6ABF"/>
    <w:rsid w:val="006D00C7"/>
    <w:rsid w:val="006D35C6"/>
    <w:rsid w:val="006E2658"/>
    <w:rsid w:val="006E530D"/>
    <w:rsid w:val="006E6FBD"/>
    <w:rsid w:val="006F008D"/>
    <w:rsid w:val="006F1361"/>
    <w:rsid w:val="006F1F52"/>
    <w:rsid w:val="007034F4"/>
    <w:rsid w:val="0070683C"/>
    <w:rsid w:val="00706962"/>
    <w:rsid w:val="00713D9A"/>
    <w:rsid w:val="00720E18"/>
    <w:rsid w:val="007213DB"/>
    <w:rsid w:val="00722F89"/>
    <w:rsid w:val="00726DB4"/>
    <w:rsid w:val="007326C5"/>
    <w:rsid w:val="007332D9"/>
    <w:rsid w:val="00733E3C"/>
    <w:rsid w:val="00734D8F"/>
    <w:rsid w:val="007424FF"/>
    <w:rsid w:val="00742B03"/>
    <w:rsid w:val="007504ED"/>
    <w:rsid w:val="007537AF"/>
    <w:rsid w:val="00760C7F"/>
    <w:rsid w:val="00763D0E"/>
    <w:rsid w:val="0077250A"/>
    <w:rsid w:val="0077407F"/>
    <w:rsid w:val="00775304"/>
    <w:rsid w:val="00777DE5"/>
    <w:rsid w:val="00780852"/>
    <w:rsid w:val="00781565"/>
    <w:rsid w:val="00785171"/>
    <w:rsid w:val="007860FE"/>
    <w:rsid w:val="00786AD7"/>
    <w:rsid w:val="0079346B"/>
    <w:rsid w:val="00794456"/>
    <w:rsid w:val="007A20F8"/>
    <w:rsid w:val="007A2CA1"/>
    <w:rsid w:val="007A4A30"/>
    <w:rsid w:val="007A50FD"/>
    <w:rsid w:val="007B2C7E"/>
    <w:rsid w:val="007B6CCC"/>
    <w:rsid w:val="007C11D1"/>
    <w:rsid w:val="007C18C8"/>
    <w:rsid w:val="007C31E8"/>
    <w:rsid w:val="007C6550"/>
    <w:rsid w:val="007D0535"/>
    <w:rsid w:val="007D45DB"/>
    <w:rsid w:val="007D5902"/>
    <w:rsid w:val="007D75F6"/>
    <w:rsid w:val="007E1D76"/>
    <w:rsid w:val="007E2CE8"/>
    <w:rsid w:val="007E5747"/>
    <w:rsid w:val="007E6476"/>
    <w:rsid w:val="007F096E"/>
    <w:rsid w:val="007F3789"/>
    <w:rsid w:val="007F7C81"/>
    <w:rsid w:val="008057BA"/>
    <w:rsid w:val="0082365E"/>
    <w:rsid w:val="00826B77"/>
    <w:rsid w:val="0083296C"/>
    <w:rsid w:val="00836344"/>
    <w:rsid w:val="00840D00"/>
    <w:rsid w:val="008501DF"/>
    <w:rsid w:val="00851897"/>
    <w:rsid w:val="00852ECF"/>
    <w:rsid w:val="00863E1A"/>
    <w:rsid w:val="0086440F"/>
    <w:rsid w:val="008662D6"/>
    <w:rsid w:val="0087335A"/>
    <w:rsid w:val="00876DCF"/>
    <w:rsid w:val="00882A61"/>
    <w:rsid w:val="008A0996"/>
    <w:rsid w:val="008A19EB"/>
    <w:rsid w:val="008A1E74"/>
    <w:rsid w:val="008B1517"/>
    <w:rsid w:val="008B3C2B"/>
    <w:rsid w:val="008C2970"/>
    <w:rsid w:val="008C70A9"/>
    <w:rsid w:val="008D145D"/>
    <w:rsid w:val="008D6341"/>
    <w:rsid w:val="008E0A46"/>
    <w:rsid w:val="008E0F09"/>
    <w:rsid w:val="008E6504"/>
    <w:rsid w:val="008E76AA"/>
    <w:rsid w:val="008F255A"/>
    <w:rsid w:val="008F5B98"/>
    <w:rsid w:val="009005C6"/>
    <w:rsid w:val="00906BF8"/>
    <w:rsid w:val="0090720A"/>
    <w:rsid w:val="0091083A"/>
    <w:rsid w:val="00916C8A"/>
    <w:rsid w:val="0092092B"/>
    <w:rsid w:val="00926562"/>
    <w:rsid w:val="00934492"/>
    <w:rsid w:val="00934ABC"/>
    <w:rsid w:val="00944959"/>
    <w:rsid w:val="00945F58"/>
    <w:rsid w:val="00951E42"/>
    <w:rsid w:val="00951F0F"/>
    <w:rsid w:val="00952861"/>
    <w:rsid w:val="009534A9"/>
    <w:rsid w:val="00955D5C"/>
    <w:rsid w:val="009570DA"/>
    <w:rsid w:val="009575D1"/>
    <w:rsid w:val="009575E3"/>
    <w:rsid w:val="00963C2C"/>
    <w:rsid w:val="009720C8"/>
    <w:rsid w:val="00974AF0"/>
    <w:rsid w:val="00976727"/>
    <w:rsid w:val="00976DB9"/>
    <w:rsid w:val="009822C5"/>
    <w:rsid w:val="00992249"/>
    <w:rsid w:val="009A332D"/>
    <w:rsid w:val="009A4E80"/>
    <w:rsid w:val="009A7DD6"/>
    <w:rsid w:val="009B05BA"/>
    <w:rsid w:val="009B2AF7"/>
    <w:rsid w:val="009B3B2F"/>
    <w:rsid w:val="009B6275"/>
    <w:rsid w:val="009B6B50"/>
    <w:rsid w:val="009C04DB"/>
    <w:rsid w:val="009C1B5B"/>
    <w:rsid w:val="009C27F8"/>
    <w:rsid w:val="009C5D65"/>
    <w:rsid w:val="009D211A"/>
    <w:rsid w:val="009D6DB4"/>
    <w:rsid w:val="009D7E79"/>
    <w:rsid w:val="009E07EB"/>
    <w:rsid w:val="009E42A3"/>
    <w:rsid w:val="009F0923"/>
    <w:rsid w:val="00A07BDB"/>
    <w:rsid w:val="00A206B3"/>
    <w:rsid w:val="00A23CA8"/>
    <w:rsid w:val="00A26C91"/>
    <w:rsid w:val="00A31430"/>
    <w:rsid w:val="00A335FA"/>
    <w:rsid w:val="00A430FD"/>
    <w:rsid w:val="00A45BCB"/>
    <w:rsid w:val="00A47BB5"/>
    <w:rsid w:val="00A55C71"/>
    <w:rsid w:val="00A61937"/>
    <w:rsid w:val="00A620B7"/>
    <w:rsid w:val="00A643DC"/>
    <w:rsid w:val="00A70019"/>
    <w:rsid w:val="00A7113E"/>
    <w:rsid w:val="00A711F7"/>
    <w:rsid w:val="00A801B6"/>
    <w:rsid w:val="00A82B3C"/>
    <w:rsid w:val="00A84EE1"/>
    <w:rsid w:val="00A85BF7"/>
    <w:rsid w:val="00A85CE2"/>
    <w:rsid w:val="00A94FAF"/>
    <w:rsid w:val="00AB5465"/>
    <w:rsid w:val="00AC064B"/>
    <w:rsid w:val="00AD0F6D"/>
    <w:rsid w:val="00AD73DD"/>
    <w:rsid w:val="00AE0527"/>
    <w:rsid w:val="00AE701A"/>
    <w:rsid w:val="00B03516"/>
    <w:rsid w:val="00B21750"/>
    <w:rsid w:val="00B24CEB"/>
    <w:rsid w:val="00B25B60"/>
    <w:rsid w:val="00B25D36"/>
    <w:rsid w:val="00B305EE"/>
    <w:rsid w:val="00B36A16"/>
    <w:rsid w:val="00B37662"/>
    <w:rsid w:val="00B403EF"/>
    <w:rsid w:val="00B419B5"/>
    <w:rsid w:val="00B44D7B"/>
    <w:rsid w:val="00B4768A"/>
    <w:rsid w:val="00B52A66"/>
    <w:rsid w:val="00B610D7"/>
    <w:rsid w:val="00B63638"/>
    <w:rsid w:val="00B67F85"/>
    <w:rsid w:val="00B72BA1"/>
    <w:rsid w:val="00B81102"/>
    <w:rsid w:val="00B8267A"/>
    <w:rsid w:val="00B96DC2"/>
    <w:rsid w:val="00B972EE"/>
    <w:rsid w:val="00BA0AEA"/>
    <w:rsid w:val="00BA0BDE"/>
    <w:rsid w:val="00BA2002"/>
    <w:rsid w:val="00BA7E7D"/>
    <w:rsid w:val="00BB09CC"/>
    <w:rsid w:val="00BB2FB9"/>
    <w:rsid w:val="00BB4CAC"/>
    <w:rsid w:val="00BC56AA"/>
    <w:rsid w:val="00BC585C"/>
    <w:rsid w:val="00BC730E"/>
    <w:rsid w:val="00BD0218"/>
    <w:rsid w:val="00BD3B92"/>
    <w:rsid w:val="00BD66C8"/>
    <w:rsid w:val="00BE1EE0"/>
    <w:rsid w:val="00BE59B0"/>
    <w:rsid w:val="00BF67C7"/>
    <w:rsid w:val="00C03D69"/>
    <w:rsid w:val="00C04F35"/>
    <w:rsid w:val="00C0565D"/>
    <w:rsid w:val="00C068D9"/>
    <w:rsid w:val="00C06BB0"/>
    <w:rsid w:val="00C2133D"/>
    <w:rsid w:val="00C227D3"/>
    <w:rsid w:val="00C262D0"/>
    <w:rsid w:val="00C30062"/>
    <w:rsid w:val="00C31D17"/>
    <w:rsid w:val="00C35023"/>
    <w:rsid w:val="00C369C9"/>
    <w:rsid w:val="00C36A1E"/>
    <w:rsid w:val="00C44366"/>
    <w:rsid w:val="00C457AF"/>
    <w:rsid w:val="00C459C3"/>
    <w:rsid w:val="00C52170"/>
    <w:rsid w:val="00C62BFB"/>
    <w:rsid w:val="00C649E1"/>
    <w:rsid w:val="00C7227E"/>
    <w:rsid w:val="00C755B3"/>
    <w:rsid w:val="00C80E93"/>
    <w:rsid w:val="00C87A0B"/>
    <w:rsid w:val="00C9175F"/>
    <w:rsid w:val="00C965D6"/>
    <w:rsid w:val="00CA43AC"/>
    <w:rsid w:val="00CB7346"/>
    <w:rsid w:val="00CC1ECF"/>
    <w:rsid w:val="00CD1DC2"/>
    <w:rsid w:val="00CD512F"/>
    <w:rsid w:val="00CD5FCE"/>
    <w:rsid w:val="00CD6CB7"/>
    <w:rsid w:val="00CD72F7"/>
    <w:rsid w:val="00CE04FD"/>
    <w:rsid w:val="00CE1C4A"/>
    <w:rsid w:val="00CE570B"/>
    <w:rsid w:val="00CF5210"/>
    <w:rsid w:val="00CF6D95"/>
    <w:rsid w:val="00D00239"/>
    <w:rsid w:val="00D047B0"/>
    <w:rsid w:val="00D064CF"/>
    <w:rsid w:val="00D06CE7"/>
    <w:rsid w:val="00D108EC"/>
    <w:rsid w:val="00D1727A"/>
    <w:rsid w:val="00D20A40"/>
    <w:rsid w:val="00D214EE"/>
    <w:rsid w:val="00D2501F"/>
    <w:rsid w:val="00D309EF"/>
    <w:rsid w:val="00D3416D"/>
    <w:rsid w:val="00D37D93"/>
    <w:rsid w:val="00D37F1B"/>
    <w:rsid w:val="00D4352D"/>
    <w:rsid w:val="00D50D89"/>
    <w:rsid w:val="00D56045"/>
    <w:rsid w:val="00D624AF"/>
    <w:rsid w:val="00D8229D"/>
    <w:rsid w:val="00D85598"/>
    <w:rsid w:val="00D859A6"/>
    <w:rsid w:val="00D86D1E"/>
    <w:rsid w:val="00D9148A"/>
    <w:rsid w:val="00DB01ED"/>
    <w:rsid w:val="00DB0BDA"/>
    <w:rsid w:val="00DB0FC1"/>
    <w:rsid w:val="00DB31B6"/>
    <w:rsid w:val="00DB6214"/>
    <w:rsid w:val="00DB786E"/>
    <w:rsid w:val="00DC0777"/>
    <w:rsid w:val="00DC1367"/>
    <w:rsid w:val="00DC40BB"/>
    <w:rsid w:val="00DC4F74"/>
    <w:rsid w:val="00DD2EC2"/>
    <w:rsid w:val="00DD3966"/>
    <w:rsid w:val="00DD7506"/>
    <w:rsid w:val="00DE4D30"/>
    <w:rsid w:val="00DE60B9"/>
    <w:rsid w:val="00DE743C"/>
    <w:rsid w:val="00DF04AA"/>
    <w:rsid w:val="00DF1686"/>
    <w:rsid w:val="00DF6280"/>
    <w:rsid w:val="00E114B4"/>
    <w:rsid w:val="00E15FF0"/>
    <w:rsid w:val="00E17775"/>
    <w:rsid w:val="00E203E6"/>
    <w:rsid w:val="00E21605"/>
    <w:rsid w:val="00E34B24"/>
    <w:rsid w:val="00E3633C"/>
    <w:rsid w:val="00E42BAB"/>
    <w:rsid w:val="00E45E61"/>
    <w:rsid w:val="00E47AF0"/>
    <w:rsid w:val="00E47FAE"/>
    <w:rsid w:val="00E54DAD"/>
    <w:rsid w:val="00E55F89"/>
    <w:rsid w:val="00E64B2B"/>
    <w:rsid w:val="00E67E4E"/>
    <w:rsid w:val="00E7494E"/>
    <w:rsid w:val="00E806DD"/>
    <w:rsid w:val="00E82661"/>
    <w:rsid w:val="00E83960"/>
    <w:rsid w:val="00E83EB4"/>
    <w:rsid w:val="00E843DF"/>
    <w:rsid w:val="00E864F8"/>
    <w:rsid w:val="00E904A3"/>
    <w:rsid w:val="00E9738B"/>
    <w:rsid w:val="00EA09F7"/>
    <w:rsid w:val="00EA0B78"/>
    <w:rsid w:val="00EA1843"/>
    <w:rsid w:val="00EA2F8D"/>
    <w:rsid w:val="00EA3D34"/>
    <w:rsid w:val="00EA53AD"/>
    <w:rsid w:val="00EA7ECC"/>
    <w:rsid w:val="00EB5A90"/>
    <w:rsid w:val="00EC0E84"/>
    <w:rsid w:val="00EC1A54"/>
    <w:rsid w:val="00EC60E8"/>
    <w:rsid w:val="00ED24C4"/>
    <w:rsid w:val="00ED291C"/>
    <w:rsid w:val="00ED30A1"/>
    <w:rsid w:val="00ED575C"/>
    <w:rsid w:val="00ED6813"/>
    <w:rsid w:val="00EE0C8E"/>
    <w:rsid w:val="00EE1241"/>
    <w:rsid w:val="00EE4923"/>
    <w:rsid w:val="00EF17C8"/>
    <w:rsid w:val="00EF5FAC"/>
    <w:rsid w:val="00EF6B04"/>
    <w:rsid w:val="00F00B2A"/>
    <w:rsid w:val="00F03114"/>
    <w:rsid w:val="00F07A8C"/>
    <w:rsid w:val="00F16145"/>
    <w:rsid w:val="00F239A9"/>
    <w:rsid w:val="00F24F95"/>
    <w:rsid w:val="00F254A5"/>
    <w:rsid w:val="00F26E03"/>
    <w:rsid w:val="00F30A74"/>
    <w:rsid w:val="00F33ABF"/>
    <w:rsid w:val="00F34CB9"/>
    <w:rsid w:val="00F51719"/>
    <w:rsid w:val="00F524E2"/>
    <w:rsid w:val="00F5361A"/>
    <w:rsid w:val="00F62784"/>
    <w:rsid w:val="00F7085B"/>
    <w:rsid w:val="00F72138"/>
    <w:rsid w:val="00F83F6A"/>
    <w:rsid w:val="00F91A97"/>
    <w:rsid w:val="00F93E91"/>
    <w:rsid w:val="00F94A9D"/>
    <w:rsid w:val="00FA2D9D"/>
    <w:rsid w:val="00FB131C"/>
    <w:rsid w:val="00FB3CA0"/>
    <w:rsid w:val="00FB63E7"/>
    <w:rsid w:val="00FC1E6D"/>
    <w:rsid w:val="00FC5D37"/>
    <w:rsid w:val="00FD5E4F"/>
    <w:rsid w:val="00FD7673"/>
    <w:rsid w:val="00FE5F19"/>
    <w:rsid w:val="00FE65D6"/>
    <w:rsid w:val="00FF03D0"/>
    <w:rsid w:val="00FF259D"/>
    <w:rsid w:val="00FF6995"/>
    <w:rsid w:val="3ECF2ED3"/>
    <w:rsid w:val="FBCFBA96"/>
    <w:rsid w:val="FFEE5E9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iPriority="99" w:name="footnote text"/>
    <w:lsdException w:unhideWhenUsed="0" w:uiPriority="0" w:semiHidden="0"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2"/>
    <w:qFormat/>
    <w:uiPriority w:val="0"/>
    <w:pPr>
      <w:keepNext/>
      <w:snapToGrid w:val="0"/>
      <w:outlineLvl w:val="0"/>
    </w:pPr>
    <w:rPr>
      <w:rFonts w:ascii="仿宋_GB2312"/>
      <w:b/>
      <w:sz w:val="28"/>
      <w:szCs w:val="20"/>
    </w:rPr>
  </w:style>
  <w:style w:type="paragraph" w:styleId="3">
    <w:name w:val="heading 2"/>
    <w:basedOn w:val="1"/>
    <w:next w:val="1"/>
    <w:link w:val="97"/>
    <w:qFormat/>
    <w:uiPriority w:val="0"/>
    <w:pPr>
      <w:widowControl/>
      <w:adjustRightInd w:val="0"/>
      <w:spacing w:before="140" w:beforeLines="0" w:after="140" w:afterLines="0" w:line="288" w:lineRule="auto"/>
      <w:jc w:val="left"/>
      <w:textAlignment w:val="baseline"/>
      <w:outlineLvl w:val="1"/>
    </w:pPr>
    <w:rPr>
      <w:rFonts w:ascii="Arial" w:hAnsi="Arial" w:eastAsia="黑体"/>
      <w:b/>
      <w:kern w:val="0"/>
      <w:sz w:val="28"/>
      <w:szCs w:val="20"/>
    </w:rPr>
  </w:style>
  <w:style w:type="paragraph" w:styleId="4">
    <w:name w:val="heading 3"/>
    <w:basedOn w:val="1"/>
    <w:next w:val="1"/>
    <w:link w:val="66"/>
    <w:qFormat/>
    <w:uiPriority w:val="0"/>
    <w:pPr>
      <w:widowControl/>
      <w:adjustRightInd w:val="0"/>
      <w:spacing w:before="40" w:beforeLines="0" w:after="40" w:afterLines="0" w:line="288" w:lineRule="auto"/>
      <w:jc w:val="left"/>
      <w:textAlignment w:val="baseline"/>
      <w:outlineLvl w:val="2"/>
    </w:pPr>
    <w:rPr>
      <w:kern w:val="0"/>
      <w:sz w:val="28"/>
      <w:szCs w:val="20"/>
    </w:rPr>
  </w:style>
  <w:style w:type="paragraph" w:styleId="5">
    <w:name w:val="heading 4"/>
    <w:basedOn w:val="4"/>
    <w:next w:val="1"/>
    <w:link w:val="61"/>
    <w:qFormat/>
    <w:uiPriority w:val="0"/>
    <w:pPr>
      <w:tabs>
        <w:tab w:val="left" w:pos="1680"/>
      </w:tabs>
      <w:outlineLvl w:val="3"/>
    </w:pPr>
  </w:style>
  <w:style w:type="paragraph" w:styleId="6">
    <w:name w:val="heading 5"/>
    <w:basedOn w:val="1"/>
    <w:next w:val="1"/>
    <w:link w:val="83"/>
    <w:qFormat/>
    <w:uiPriority w:val="0"/>
    <w:pPr>
      <w:keepNext/>
      <w:keepLines/>
      <w:adjustRightInd w:val="0"/>
      <w:spacing w:before="280" w:beforeLines="0" w:after="290" w:afterLines="0" w:line="376" w:lineRule="atLeast"/>
      <w:jc w:val="left"/>
      <w:textAlignment w:val="baseline"/>
      <w:outlineLvl w:val="4"/>
    </w:pPr>
    <w:rPr>
      <w:b/>
      <w:kern w:val="0"/>
      <w:sz w:val="28"/>
      <w:szCs w:val="20"/>
    </w:rPr>
  </w:style>
  <w:style w:type="paragraph" w:styleId="7">
    <w:name w:val="heading 6"/>
    <w:basedOn w:val="1"/>
    <w:next w:val="1"/>
    <w:link w:val="87"/>
    <w:qFormat/>
    <w:uiPriority w:val="0"/>
    <w:pPr>
      <w:keepNext/>
      <w:keepLines/>
      <w:adjustRightInd w:val="0"/>
      <w:spacing w:before="240" w:beforeLines="0" w:after="64" w:afterLines="0" w:line="320" w:lineRule="atLeast"/>
      <w:jc w:val="left"/>
      <w:textAlignment w:val="baseline"/>
      <w:outlineLvl w:val="5"/>
    </w:pPr>
    <w:rPr>
      <w:rFonts w:ascii="Arial" w:hAnsi="Arial" w:eastAsia="黑体"/>
      <w:b/>
      <w:kern w:val="0"/>
      <w:sz w:val="24"/>
      <w:szCs w:val="20"/>
    </w:rPr>
  </w:style>
  <w:style w:type="paragraph" w:styleId="8">
    <w:name w:val="heading 7"/>
    <w:basedOn w:val="1"/>
    <w:next w:val="1"/>
    <w:link w:val="57"/>
    <w:qFormat/>
    <w:uiPriority w:val="0"/>
    <w:pPr>
      <w:keepNext/>
      <w:keepLines/>
      <w:adjustRightInd w:val="0"/>
      <w:spacing w:before="240" w:beforeLines="0" w:after="64" w:afterLines="0" w:line="320" w:lineRule="atLeast"/>
      <w:jc w:val="left"/>
      <w:textAlignment w:val="baseline"/>
      <w:outlineLvl w:val="6"/>
    </w:pPr>
    <w:rPr>
      <w:b/>
      <w:kern w:val="0"/>
      <w:sz w:val="24"/>
      <w:szCs w:val="20"/>
    </w:rPr>
  </w:style>
  <w:style w:type="paragraph" w:styleId="9">
    <w:name w:val="heading 8"/>
    <w:basedOn w:val="1"/>
    <w:next w:val="1"/>
    <w:link w:val="59"/>
    <w:qFormat/>
    <w:uiPriority w:val="0"/>
    <w:pPr>
      <w:keepNext/>
      <w:keepLines/>
      <w:adjustRightInd w:val="0"/>
      <w:spacing w:before="240" w:beforeLines="0" w:after="64" w:afterLines="0" w:line="320" w:lineRule="atLeast"/>
      <w:jc w:val="left"/>
      <w:textAlignment w:val="baseline"/>
      <w:outlineLvl w:val="7"/>
    </w:pPr>
    <w:rPr>
      <w:rFonts w:ascii="Arial" w:hAnsi="Arial" w:eastAsia="黑体"/>
      <w:kern w:val="0"/>
      <w:sz w:val="24"/>
      <w:szCs w:val="20"/>
    </w:rPr>
  </w:style>
  <w:style w:type="paragraph" w:styleId="10">
    <w:name w:val="heading 9"/>
    <w:basedOn w:val="1"/>
    <w:next w:val="1"/>
    <w:link w:val="94"/>
    <w:qFormat/>
    <w:uiPriority w:val="0"/>
    <w:pPr>
      <w:keepNext/>
      <w:keepLines/>
      <w:adjustRightInd w:val="0"/>
      <w:spacing w:before="240" w:beforeLines="0" w:after="64" w:afterLines="0" w:line="320" w:lineRule="atLeast"/>
      <w:jc w:val="left"/>
      <w:textAlignment w:val="baseline"/>
      <w:outlineLvl w:val="8"/>
    </w:pPr>
    <w:rPr>
      <w:rFonts w:ascii="Arial" w:hAnsi="Arial" w:eastAsia="黑体"/>
      <w:kern w:val="0"/>
      <w:sz w:val="28"/>
      <w:szCs w:val="20"/>
    </w:rPr>
  </w:style>
  <w:style w:type="character" w:default="1" w:styleId="45">
    <w:name w:val="Default Paragraph Font"/>
    <w:uiPriority w:val="0"/>
  </w:style>
  <w:style w:type="table" w:default="1" w:styleId="43">
    <w:name w:val="Normal Table"/>
    <w:semiHidden/>
    <w:unhideWhenUsed/>
    <w:uiPriority w:val="99"/>
    <w:tblPr>
      <w:tblCellMar>
        <w:top w:w="0" w:type="dxa"/>
        <w:left w:w="108" w:type="dxa"/>
        <w:bottom w:w="0" w:type="dxa"/>
        <w:right w:w="108" w:type="dxa"/>
      </w:tblCellMar>
    </w:tblPr>
  </w:style>
  <w:style w:type="paragraph" w:styleId="11">
    <w:name w:val="toc 7"/>
    <w:basedOn w:val="1"/>
    <w:next w:val="1"/>
    <w:uiPriority w:val="0"/>
    <w:pPr>
      <w:adjustRightInd w:val="0"/>
      <w:spacing w:line="312" w:lineRule="atLeast"/>
      <w:ind w:left="1260"/>
      <w:jc w:val="left"/>
      <w:textAlignment w:val="baseline"/>
    </w:pPr>
    <w:rPr>
      <w:kern w:val="0"/>
      <w:szCs w:val="21"/>
    </w:rPr>
  </w:style>
  <w:style w:type="paragraph" w:styleId="12">
    <w:name w:val="Normal Indent"/>
    <w:basedOn w:val="1"/>
    <w:link w:val="86"/>
    <w:uiPriority w:val="0"/>
    <w:pPr>
      <w:ind w:firstLine="420"/>
    </w:pPr>
    <w:rPr>
      <w:szCs w:val="20"/>
    </w:rPr>
  </w:style>
  <w:style w:type="paragraph" w:styleId="13">
    <w:name w:val="Document Map"/>
    <w:basedOn w:val="1"/>
    <w:link w:val="54"/>
    <w:uiPriority w:val="0"/>
    <w:rPr>
      <w:rFonts w:ascii="宋体"/>
      <w:kern w:val="2"/>
      <w:sz w:val="18"/>
      <w:szCs w:val="18"/>
    </w:rPr>
  </w:style>
  <w:style w:type="paragraph" w:styleId="14">
    <w:name w:val="annotation text"/>
    <w:basedOn w:val="1"/>
    <w:link w:val="84"/>
    <w:uiPriority w:val="0"/>
    <w:pPr>
      <w:jc w:val="left"/>
    </w:pPr>
    <w:rPr>
      <w:kern w:val="2"/>
      <w:sz w:val="21"/>
      <w:szCs w:val="24"/>
    </w:rPr>
  </w:style>
  <w:style w:type="paragraph" w:styleId="15">
    <w:name w:val="Body Text 3"/>
    <w:basedOn w:val="1"/>
    <w:qFormat/>
    <w:uiPriority w:val="0"/>
    <w:rPr>
      <w:b/>
      <w:sz w:val="28"/>
      <w:szCs w:val="20"/>
    </w:rPr>
  </w:style>
  <w:style w:type="paragraph" w:styleId="16">
    <w:name w:val="Body Text"/>
    <w:basedOn w:val="1"/>
    <w:link w:val="63"/>
    <w:qFormat/>
    <w:uiPriority w:val="0"/>
    <w:pPr>
      <w:jc w:val="center"/>
    </w:pPr>
    <w:rPr>
      <w:kern w:val="2"/>
      <w:sz w:val="21"/>
    </w:rPr>
  </w:style>
  <w:style w:type="paragraph" w:styleId="17">
    <w:name w:val="Body Text Indent"/>
    <w:basedOn w:val="1"/>
    <w:link w:val="65"/>
    <w:qFormat/>
    <w:uiPriority w:val="0"/>
    <w:pPr>
      <w:snapToGrid w:val="0"/>
      <w:ind w:firstLine="480"/>
    </w:pPr>
    <w:rPr>
      <w:kern w:val="2"/>
      <w:sz w:val="24"/>
    </w:rPr>
  </w:style>
  <w:style w:type="paragraph" w:styleId="18">
    <w:name w:val="Block Text"/>
    <w:basedOn w:val="1"/>
    <w:qFormat/>
    <w:uiPriority w:val="0"/>
    <w:pPr>
      <w:ind w:left="113" w:right="113"/>
      <w:jc w:val="center"/>
    </w:pPr>
    <w:rPr>
      <w:sz w:val="28"/>
      <w:szCs w:val="20"/>
    </w:rPr>
  </w:style>
  <w:style w:type="paragraph" w:styleId="19">
    <w:name w:val="toc 5"/>
    <w:basedOn w:val="1"/>
    <w:next w:val="1"/>
    <w:qFormat/>
    <w:uiPriority w:val="0"/>
    <w:pPr>
      <w:adjustRightInd w:val="0"/>
      <w:spacing w:line="312" w:lineRule="atLeast"/>
      <w:ind w:left="840"/>
      <w:jc w:val="left"/>
      <w:textAlignment w:val="baseline"/>
    </w:pPr>
    <w:rPr>
      <w:kern w:val="0"/>
      <w:szCs w:val="21"/>
    </w:rPr>
  </w:style>
  <w:style w:type="paragraph" w:styleId="20">
    <w:name w:val="toc 3"/>
    <w:basedOn w:val="1"/>
    <w:next w:val="1"/>
    <w:qFormat/>
    <w:uiPriority w:val="0"/>
    <w:pPr>
      <w:adjustRightInd w:val="0"/>
      <w:spacing w:line="312" w:lineRule="atLeast"/>
      <w:ind w:left="420"/>
      <w:jc w:val="left"/>
      <w:textAlignment w:val="baseline"/>
    </w:pPr>
    <w:rPr>
      <w:i/>
      <w:iCs/>
      <w:kern w:val="0"/>
    </w:rPr>
  </w:style>
  <w:style w:type="paragraph" w:styleId="21">
    <w:name w:val="Plain Text"/>
    <w:basedOn w:val="1"/>
    <w:link w:val="52"/>
    <w:qFormat/>
    <w:uiPriority w:val="0"/>
    <w:rPr>
      <w:rFonts w:ascii="宋体" w:hAnsi="Courier New"/>
      <w:kern w:val="2"/>
      <w:sz w:val="21"/>
      <w:szCs w:val="21"/>
    </w:rPr>
  </w:style>
  <w:style w:type="paragraph" w:styleId="22">
    <w:name w:val="toc 8"/>
    <w:basedOn w:val="1"/>
    <w:next w:val="1"/>
    <w:qFormat/>
    <w:uiPriority w:val="0"/>
    <w:pPr>
      <w:ind w:left="2940" w:leftChars="1400"/>
    </w:pPr>
  </w:style>
  <w:style w:type="paragraph" w:styleId="23">
    <w:name w:val="Date"/>
    <w:basedOn w:val="1"/>
    <w:next w:val="1"/>
    <w:link w:val="74"/>
    <w:qFormat/>
    <w:uiPriority w:val="0"/>
    <w:rPr>
      <w:kern w:val="2"/>
      <w:sz w:val="24"/>
    </w:rPr>
  </w:style>
  <w:style w:type="paragraph" w:styleId="24">
    <w:name w:val="Body Text Indent 2"/>
    <w:basedOn w:val="1"/>
    <w:link w:val="82"/>
    <w:qFormat/>
    <w:uiPriority w:val="0"/>
    <w:pPr>
      <w:snapToGrid w:val="0"/>
      <w:ind w:firstLine="471" w:firstLineChars="200"/>
    </w:pPr>
    <w:rPr>
      <w:rFonts w:ascii="宋体" w:hAnsi="宋体"/>
      <w:b/>
      <w:bCs/>
      <w:sz w:val="24"/>
      <w:szCs w:val="20"/>
    </w:rPr>
  </w:style>
  <w:style w:type="paragraph" w:styleId="25">
    <w:name w:val="Balloon Text"/>
    <w:basedOn w:val="1"/>
    <w:link w:val="75"/>
    <w:qFormat/>
    <w:uiPriority w:val="0"/>
    <w:rPr>
      <w:sz w:val="18"/>
      <w:szCs w:val="18"/>
    </w:rPr>
  </w:style>
  <w:style w:type="paragraph" w:styleId="26">
    <w:name w:val="footer"/>
    <w:basedOn w:val="1"/>
    <w:link w:val="91"/>
    <w:qFormat/>
    <w:uiPriority w:val="0"/>
    <w:pPr>
      <w:tabs>
        <w:tab w:val="center" w:pos="4153"/>
        <w:tab w:val="right" w:pos="8306"/>
      </w:tabs>
      <w:snapToGrid w:val="0"/>
      <w:jc w:val="left"/>
    </w:pPr>
    <w:rPr>
      <w:kern w:val="2"/>
      <w:sz w:val="18"/>
      <w:szCs w:val="18"/>
    </w:rPr>
  </w:style>
  <w:style w:type="paragraph" w:styleId="27">
    <w:name w:val="header"/>
    <w:basedOn w:val="1"/>
    <w:link w:val="55"/>
    <w:uiPriority w:val="0"/>
    <w:pPr>
      <w:tabs>
        <w:tab w:val="center" w:pos="4153"/>
        <w:tab w:val="right" w:pos="8306"/>
      </w:tabs>
      <w:snapToGrid w:val="0"/>
      <w:jc w:val="center"/>
    </w:pPr>
    <w:rPr>
      <w:sz w:val="18"/>
      <w:szCs w:val="18"/>
    </w:rPr>
  </w:style>
  <w:style w:type="paragraph" w:styleId="28">
    <w:name w:val="toc 1"/>
    <w:basedOn w:val="1"/>
    <w:next w:val="1"/>
    <w:uiPriority w:val="0"/>
    <w:pPr>
      <w:spacing w:line="400" w:lineRule="exact"/>
      <w:ind w:firstLine="625" w:firstLineChars="200"/>
    </w:pPr>
    <w:rPr>
      <w:rFonts w:ascii="宋体" w:hAnsi="宋体"/>
      <w:b/>
      <w:spacing w:val="16"/>
      <w:sz w:val="28"/>
      <w:szCs w:val="28"/>
    </w:rPr>
  </w:style>
  <w:style w:type="paragraph" w:styleId="29">
    <w:name w:val="toc 4"/>
    <w:basedOn w:val="1"/>
    <w:next w:val="1"/>
    <w:uiPriority w:val="0"/>
    <w:pPr>
      <w:ind w:left="630"/>
      <w:jc w:val="left"/>
    </w:pPr>
    <w:rPr>
      <w:rFonts w:ascii="Calibri" w:hAnsi="Calibri"/>
      <w:sz w:val="18"/>
      <w:szCs w:val="18"/>
    </w:rPr>
  </w:style>
  <w:style w:type="paragraph" w:styleId="30">
    <w:name w:val="List"/>
    <w:basedOn w:val="1"/>
    <w:uiPriority w:val="0"/>
    <w:pPr>
      <w:widowControl/>
      <w:tabs>
        <w:tab w:val="center" w:pos="426"/>
      </w:tabs>
      <w:autoSpaceDE w:val="0"/>
      <w:autoSpaceDN w:val="0"/>
      <w:adjustRightInd w:val="0"/>
      <w:snapToGrid w:val="0"/>
      <w:jc w:val="center"/>
    </w:pPr>
    <w:rPr>
      <w:snapToGrid w:val="0"/>
      <w:kern w:val="0"/>
      <w:sz w:val="28"/>
      <w:szCs w:val="20"/>
    </w:rPr>
  </w:style>
  <w:style w:type="paragraph" w:styleId="31">
    <w:name w:val="toc 6"/>
    <w:basedOn w:val="1"/>
    <w:next w:val="1"/>
    <w:uiPriority w:val="0"/>
    <w:pPr>
      <w:adjustRightInd w:val="0"/>
      <w:spacing w:line="312" w:lineRule="atLeast"/>
      <w:ind w:left="1050"/>
      <w:jc w:val="left"/>
      <w:textAlignment w:val="baseline"/>
    </w:pPr>
    <w:rPr>
      <w:kern w:val="0"/>
      <w:szCs w:val="21"/>
    </w:rPr>
  </w:style>
  <w:style w:type="paragraph" w:styleId="32">
    <w:name w:val="Body Text Indent 3"/>
    <w:basedOn w:val="1"/>
    <w:uiPriority w:val="0"/>
    <w:pPr>
      <w:spacing w:line="400" w:lineRule="exact"/>
      <w:ind w:left="-3" w:firstLine="483"/>
    </w:pPr>
    <w:rPr>
      <w:rFonts w:eastAsia="楷体_GB2312"/>
      <w:color w:val="FF0000"/>
      <w:sz w:val="24"/>
      <w:szCs w:val="20"/>
    </w:rPr>
  </w:style>
  <w:style w:type="paragraph" w:styleId="33">
    <w:name w:val="toc 2"/>
    <w:basedOn w:val="1"/>
    <w:next w:val="1"/>
    <w:uiPriority w:val="0"/>
    <w:pPr>
      <w:adjustRightInd w:val="0"/>
      <w:spacing w:line="312" w:lineRule="atLeast"/>
      <w:ind w:left="210"/>
      <w:jc w:val="left"/>
      <w:textAlignment w:val="baseline"/>
    </w:pPr>
    <w:rPr>
      <w:smallCaps/>
      <w:kern w:val="0"/>
    </w:rPr>
  </w:style>
  <w:style w:type="paragraph" w:styleId="34">
    <w:name w:val="toc 9"/>
    <w:basedOn w:val="1"/>
    <w:next w:val="1"/>
    <w:uiPriority w:val="0"/>
    <w:pPr>
      <w:adjustRightInd w:val="0"/>
      <w:spacing w:line="312" w:lineRule="atLeast"/>
      <w:ind w:left="1680"/>
      <w:jc w:val="left"/>
      <w:textAlignment w:val="baseline"/>
    </w:pPr>
    <w:rPr>
      <w:kern w:val="0"/>
      <w:szCs w:val="21"/>
    </w:rPr>
  </w:style>
  <w:style w:type="paragraph" w:styleId="35">
    <w:name w:val="Body Text 2"/>
    <w:basedOn w:val="1"/>
    <w:uiPriority w:val="0"/>
    <w:rPr>
      <w:b/>
      <w:sz w:val="32"/>
      <w:szCs w:val="20"/>
    </w:rPr>
  </w:style>
  <w:style w:type="paragraph" w:styleId="36">
    <w:name w:val="HTML Preformatted"/>
    <w:basedOn w:val="1"/>
    <w:link w:val="8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37">
    <w:name w:val="Normal (Web)"/>
    <w:basedOn w:val="1"/>
    <w:uiPriority w:val="0"/>
    <w:pPr>
      <w:widowControl/>
      <w:spacing w:before="100" w:beforeLines="0" w:beforeAutospacing="1" w:after="100" w:afterLines="0" w:afterAutospacing="1"/>
      <w:jc w:val="left"/>
    </w:pPr>
    <w:rPr>
      <w:rFonts w:ascii="宋体" w:hAnsi="宋体"/>
      <w:color w:val="000000"/>
      <w:kern w:val="0"/>
      <w:sz w:val="24"/>
    </w:rPr>
  </w:style>
  <w:style w:type="paragraph" w:styleId="38">
    <w:name w:val="index 1"/>
    <w:basedOn w:val="1"/>
    <w:next w:val="1"/>
    <w:uiPriority w:val="0"/>
    <w:pPr>
      <w:jc w:val="center"/>
    </w:pPr>
    <w:rPr>
      <w:kern w:val="15"/>
      <w:szCs w:val="21"/>
    </w:rPr>
  </w:style>
  <w:style w:type="paragraph" w:styleId="39">
    <w:name w:val="Title"/>
    <w:basedOn w:val="1"/>
    <w:next w:val="1"/>
    <w:link w:val="88"/>
    <w:qFormat/>
    <w:uiPriority w:val="0"/>
    <w:pPr>
      <w:jc w:val="center"/>
      <w:outlineLvl w:val="0"/>
    </w:pPr>
    <w:rPr>
      <w:rFonts w:ascii="Cambria" w:hAnsi="Cambria"/>
      <w:b/>
      <w:bCs/>
      <w:kern w:val="2"/>
      <w:sz w:val="28"/>
      <w:szCs w:val="32"/>
    </w:rPr>
  </w:style>
  <w:style w:type="paragraph" w:styleId="40">
    <w:name w:val="annotation subject"/>
    <w:basedOn w:val="14"/>
    <w:next w:val="14"/>
    <w:link w:val="71"/>
    <w:uiPriority w:val="0"/>
    <w:rPr>
      <w:b/>
      <w:bCs/>
    </w:rPr>
  </w:style>
  <w:style w:type="paragraph" w:styleId="41">
    <w:name w:val="Body Text First Indent"/>
    <w:basedOn w:val="16"/>
    <w:link w:val="79"/>
    <w:uiPriority w:val="0"/>
    <w:pPr>
      <w:spacing w:after="120" w:afterLines="0"/>
      <w:ind w:firstLine="420" w:firstLineChars="100"/>
      <w:jc w:val="both"/>
    </w:pPr>
    <w:rPr>
      <w:kern w:val="2"/>
      <w:sz w:val="21"/>
      <w:szCs w:val="24"/>
    </w:rPr>
  </w:style>
  <w:style w:type="paragraph" w:styleId="42">
    <w:name w:val="Body Text First Indent 2"/>
    <w:basedOn w:val="17"/>
    <w:link w:val="64"/>
    <w:uiPriority w:val="0"/>
    <w:pPr>
      <w:snapToGrid/>
      <w:spacing w:after="120" w:afterLines="0"/>
      <w:ind w:left="420" w:leftChars="200" w:firstLine="420" w:firstLineChars="200"/>
    </w:pPr>
    <w:rPr>
      <w:sz w:val="21"/>
      <w:szCs w:val="24"/>
    </w:rPr>
  </w:style>
  <w:style w:type="table" w:styleId="44">
    <w:name w:val="Table Grid"/>
    <w:basedOn w:val="4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basedOn w:val="45"/>
    <w:uiPriority w:val="0"/>
  </w:style>
  <w:style w:type="character" w:styleId="48">
    <w:name w:val="FollowedHyperlink"/>
    <w:uiPriority w:val="0"/>
    <w:rPr>
      <w:color w:val="800080"/>
      <w:u w:val="single"/>
    </w:rPr>
  </w:style>
  <w:style w:type="character" w:styleId="49">
    <w:name w:val="Hyperlink"/>
    <w:uiPriority w:val="0"/>
    <w:rPr>
      <w:color w:val="000066"/>
      <w:u w:val="single"/>
    </w:rPr>
  </w:style>
  <w:style w:type="character" w:styleId="50">
    <w:name w:val="annotation reference"/>
    <w:uiPriority w:val="0"/>
    <w:rPr>
      <w:sz w:val="21"/>
      <w:szCs w:val="21"/>
    </w:rPr>
  </w:style>
  <w:style w:type="character" w:styleId="51">
    <w:name w:val="footnote reference"/>
    <w:uiPriority w:val="0"/>
    <w:rPr>
      <w:vertAlign w:val="superscript"/>
    </w:rPr>
  </w:style>
  <w:style w:type="character" w:customStyle="1" w:styleId="52">
    <w:name w:val="纯文本 Char"/>
    <w:basedOn w:val="45"/>
    <w:link w:val="21"/>
    <w:uiPriority w:val="0"/>
    <w:rPr>
      <w:rFonts w:ascii="宋体" w:hAnsi="Courier New"/>
      <w:kern w:val="2"/>
      <w:sz w:val="21"/>
      <w:szCs w:val="21"/>
    </w:rPr>
  </w:style>
  <w:style w:type="character" w:customStyle="1" w:styleId="53">
    <w:name w:val="Char Char13"/>
    <w:uiPriority w:val="0"/>
    <w:rPr>
      <w:rFonts w:eastAsia="宋体"/>
      <w:b/>
      <w:bCs/>
      <w:sz w:val="36"/>
      <w:lang w:val="en-US" w:eastAsia="zh-CN" w:bidi="ar-SA"/>
    </w:rPr>
  </w:style>
  <w:style w:type="character" w:customStyle="1" w:styleId="54">
    <w:name w:val="文档结构图 Char"/>
    <w:basedOn w:val="45"/>
    <w:link w:val="13"/>
    <w:uiPriority w:val="0"/>
    <w:rPr>
      <w:rFonts w:ascii="宋体"/>
      <w:kern w:val="2"/>
      <w:sz w:val="18"/>
      <w:szCs w:val="18"/>
    </w:rPr>
  </w:style>
  <w:style w:type="character" w:customStyle="1" w:styleId="55">
    <w:name w:val="页眉 Char"/>
    <w:link w:val="27"/>
    <w:uiPriority w:val="0"/>
    <w:rPr>
      <w:kern w:val="2"/>
      <w:sz w:val="18"/>
      <w:szCs w:val="18"/>
    </w:rPr>
  </w:style>
  <w:style w:type="character" w:customStyle="1" w:styleId="56">
    <w:name w:val="p148"/>
    <w:basedOn w:val="45"/>
    <w:uiPriority w:val="0"/>
  </w:style>
  <w:style w:type="character" w:customStyle="1" w:styleId="57">
    <w:name w:val="标题 7 Char"/>
    <w:link w:val="8"/>
    <w:uiPriority w:val="0"/>
    <w:rPr>
      <w:b/>
      <w:sz w:val="24"/>
    </w:rPr>
  </w:style>
  <w:style w:type="character" w:customStyle="1" w:styleId="58">
    <w:name w:val="t_blue_01"/>
    <w:basedOn w:val="45"/>
    <w:uiPriority w:val="0"/>
  </w:style>
  <w:style w:type="character" w:customStyle="1" w:styleId="59">
    <w:name w:val="标题 8 Char"/>
    <w:link w:val="9"/>
    <w:uiPriority w:val="0"/>
    <w:rPr>
      <w:rFonts w:ascii="Arial" w:hAnsi="Arial" w:eastAsia="黑体"/>
      <w:sz w:val="24"/>
    </w:rPr>
  </w:style>
  <w:style w:type="character" w:customStyle="1" w:styleId="60">
    <w:name w:val="MathematicaFormatStandardForm"/>
    <w:uiPriority w:val="0"/>
    <w:rPr>
      <w:rFonts w:ascii="Courier" w:hAnsi="Courier" w:cs="Courier"/>
    </w:rPr>
  </w:style>
  <w:style w:type="character" w:customStyle="1" w:styleId="61">
    <w:name w:val="标题 4 Char"/>
    <w:link w:val="5"/>
    <w:qFormat/>
    <w:uiPriority w:val="0"/>
    <w:rPr>
      <w:sz w:val="28"/>
    </w:rPr>
  </w:style>
  <w:style w:type="character" w:customStyle="1" w:styleId="62">
    <w:name w:val="正文首行缩进 Char1"/>
    <w:basedOn w:val="63"/>
    <w:uiPriority w:val="0"/>
  </w:style>
  <w:style w:type="character" w:customStyle="1" w:styleId="63">
    <w:name w:val="正文文本 Char"/>
    <w:basedOn w:val="45"/>
    <w:link w:val="16"/>
    <w:uiPriority w:val="0"/>
    <w:rPr>
      <w:kern w:val="2"/>
      <w:sz w:val="21"/>
    </w:rPr>
  </w:style>
  <w:style w:type="character" w:customStyle="1" w:styleId="64">
    <w:name w:val="正文首行缩进 2 Char"/>
    <w:basedOn w:val="65"/>
    <w:link w:val="42"/>
    <w:qFormat/>
    <w:uiPriority w:val="0"/>
    <w:rPr>
      <w:sz w:val="21"/>
      <w:szCs w:val="24"/>
    </w:rPr>
  </w:style>
  <w:style w:type="character" w:customStyle="1" w:styleId="65">
    <w:name w:val="正文文本缩进 Char"/>
    <w:basedOn w:val="45"/>
    <w:link w:val="17"/>
    <w:uiPriority w:val="0"/>
    <w:rPr>
      <w:kern w:val="2"/>
      <w:sz w:val="24"/>
    </w:rPr>
  </w:style>
  <w:style w:type="character" w:customStyle="1" w:styleId="66">
    <w:name w:val="标题 3 Char"/>
    <w:link w:val="4"/>
    <w:uiPriority w:val="0"/>
    <w:rPr>
      <w:sz w:val="28"/>
    </w:rPr>
  </w:style>
  <w:style w:type="character" w:customStyle="1" w:styleId="67">
    <w:name w:val="标题 2 Char1"/>
    <w:uiPriority w:val="0"/>
    <w:rPr>
      <w:rFonts w:ascii="Arial" w:hAnsi="Arial" w:eastAsia="黑体"/>
      <w:b/>
      <w:kern w:val="2"/>
      <w:sz w:val="32"/>
      <w:lang w:val="en-US" w:eastAsia="zh-CN"/>
    </w:rPr>
  </w:style>
  <w:style w:type="character" w:customStyle="1" w:styleId="68">
    <w:name w:val="内容 Char Char"/>
    <w:basedOn w:val="45"/>
    <w:link w:val="69"/>
    <w:uiPriority w:val="0"/>
    <w:rPr>
      <w:kern w:val="2"/>
      <w:sz w:val="24"/>
      <w:szCs w:val="24"/>
    </w:rPr>
  </w:style>
  <w:style w:type="paragraph" w:customStyle="1" w:styleId="69">
    <w:name w:val="内容"/>
    <w:basedOn w:val="1"/>
    <w:next w:val="1"/>
    <w:link w:val="68"/>
    <w:qFormat/>
    <w:uiPriority w:val="0"/>
    <w:pPr>
      <w:spacing w:line="360" w:lineRule="auto"/>
      <w:ind w:firstLine="200" w:firstLineChars="200"/>
    </w:pPr>
    <w:rPr>
      <w:kern w:val="2"/>
      <w:sz w:val="24"/>
      <w:szCs w:val="24"/>
    </w:rPr>
  </w:style>
  <w:style w:type="character" w:customStyle="1" w:styleId="70">
    <w:name w:val="普通文字 Char Char Char Char"/>
    <w:uiPriority w:val="0"/>
    <w:rPr>
      <w:rFonts w:ascii="宋体" w:hAnsi="Courier New"/>
      <w:kern w:val="2"/>
      <w:sz w:val="21"/>
    </w:rPr>
  </w:style>
  <w:style w:type="character" w:customStyle="1" w:styleId="71">
    <w:name w:val="批注主题 Char"/>
    <w:link w:val="40"/>
    <w:uiPriority w:val="0"/>
    <w:rPr>
      <w:b/>
      <w:bCs/>
      <w:kern w:val="2"/>
      <w:sz w:val="21"/>
      <w:szCs w:val="24"/>
    </w:rPr>
  </w:style>
  <w:style w:type="character" w:customStyle="1" w:styleId="72">
    <w:name w:val="标题 1 Char"/>
    <w:link w:val="2"/>
    <w:uiPriority w:val="0"/>
    <w:rPr>
      <w:rFonts w:ascii="仿宋_GB2312"/>
      <w:b/>
      <w:kern w:val="2"/>
      <w:sz w:val="28"/>
    </w:rPr>
  </w:style>
  <w:style w:type="character" w:customStyle="1" w:styleId="73">
    <w:name w:val="Char Char131"/>
    <w:uiPriority w:val="0"/>
    <w:rPr>
      <w:rFonts w:eastAsia="宋体"/>
      <w:b/>
      <w:bCs/>
      <w:sz w:val="36"/>
      <w:lang w:val="en-US" w:eastAsia="zh-CN" w:bidi="ar-SA"/>
    </w:rPr>
  </w:style>
  <w:style w:type="character" w:customStyle="1" w:styleId="74">
    <w:name w:val="日期 Char"/>
    <w:basedOn w:val="45"/>
    <w:link w:val="23"/>
    <w:uiPriority w:val="0"/>
    <w:rPr>
      <w:kern w:val="2"/>
      <w:sz w:val="24"/>
    </w:rPr>
  </w:style>
  <w:style w:type="character" w:customStyle="1" w:styleId="75">
    <w:name w:val="批注框文本 Char"/>
    <w:link w:val="25"/>
    <w:uiPriority w:val="0"/>
    <w:rPr>
      <w:kern w:val="2"/>
      <w:sz w:val="18"/>
      <w:szCs w:val="18"/>
    </w:rPr>
  </w:style>
  <w:style w:type="character" w:customStyle="1" w:styleId="76">
    <w:name w:val="正文四号 Char Char"/>
    <w:link w:val="77"/>
    <w:uiPriority w:val="0"/>
    <w:rPr>
      <w:kern w:val="2"/>
      <w:sz w:val="28"/>
      <w:szCs w:val="28"/>
    </w:rPr>
  </w:style>
  <w:style w:type="paragraph" w:customStyle="1" w:styleId="77">
    <w:name w:val="正文四号"/>
    <w:basedOn w:val="1"/>
    <w:link w:val="76"/>
    <w:uiPriority w:val="0"/>
    <w:pPr>
      <w:spacing w:line="360" w:lineRule="auto"/>
    </w:pPr>
    <w:rPr>
      <w:sz w:val="28"/>
      <w:szCs w:val="28"/>
    </w:rPr>
  </w:style>
  <w:style w:type="character" w:customStyle="1" w:styleId="78">
    <w:name w:val="p12"/>
    <w:basedOn w:val="45"/>
    <w:uiPriority w:val="0"/>
  </w:style>
  <w:style w:type="character" w:customStyle="1" w:styleId="79">
    <w:name w:val="正文首行缩进 Char"/>
    <w:basedOn w:val="45"/>
    <w:link w:val="41"/>
    <w:uiPriority w:val="0"/>
    <w:rPr>
      <w:kern w:val="2"/>
      <w:sz w:val="21"/>
      <w:szCs w:val="24"/>
    </w:rPr>
  </w:style>
  <w:style w:type="character" w:customStyle="1" w:styleId="80">
    <w:name w:val="Char Char12"/>
    <w:uiPriority w:val="0"/>
    <w:rPr>
      <w:b/>
      <w:sz w:val="32"/>
    </w:rPr>
  </w:style>
  <w:style w:type="character" w:customStyle="1" w:styleId="81">
    <w:name w:val="HTML 预设格式 Char"/>
    <w:link w:val="36"/>
    <w:uiPriority w:val="0"/>
    <w:rPr>
      <w:rFonts w:ascii="Arial" w:hAnsi="Arial" w:cs="Arial"/>
      <w:sz w:val="24"/>
      <w:szCs w:val="24"/>
    </w:rPr>
  </w:style>
  <w:style w:type="character" w:customStyle="1" w:styleId="82">
    <w:name w:val="正文文本缩进 2 Char"/>
    <w:link w:val="24"/>
    <w:uiPriority w:val="0"/>
    <w:rPr>
      <w:rFonts w:ascii="宋体" w:hAnsi="宋体"/>
      <w:b/>
      <w:bCs/>
      <w:kern w:val="2"/>
      <w:sz w:val="24"/>
    </w:rPr>
  </w:style>
  <w:style w:type="character" w:customStyle="1" w:styleId="83">
    <w:name w:val="标题 5 Char"/>
    <w:link w:val="6"/>
    <w:qFormat/>
    <w:uiPriority w:val="0"/>
    <w:rPr>
      <w:b/>
      <w:sz w:val="28"/>
    </w:rPr>
  </w:style>
  <w:style w:type="character" w:customStyle="1" w:styleId="84">
    <w:name w:val="批注文字 Char"/>
    <w:basedOn w:val="45"/>
    <w:link w:val="14"/>
    <w:qFormat/>
    <w:uiPriority w:val="0"/>
    <w:rPr>
      <w:kern w:val="2"/>
      <w:sz w:val="21"/>
      <w:szCs w:val="24"/>
    </w:rPr>
  </w:style>
  <w:style w:type="character" w:customStyle="1" w:styleId="85">
    <w:name w:val="正文文本缩进 Char Char"/>
    <w:qFormat/>
    <w:uiPriority w:val="0"/>
    <w:rPr>
      <w:rFonts w:ascii="宋体" w:hAnsi="Times New Roman" w:eastAsia="宋体" w:cs="Times New Roman"/>
      <w:kern w:val="0"/>
      <w:sz w:val="28"/>
      <w:szCs w:val="20"/>
    </w:rPr>
  </w:style>
  <w:style w:type="character" w:customStyle="1" w:styleId="86">
    <w:name w:val="正文缩进 Char"/>
    <w:link w:val="12"/>
    <w:qFormat/>
    <w:uiPriority w:val="0"/>
    <w:rPr>
      <w:rFonts w:eastAsia="宋体"/>
      <w:kern w:val="2"/>
      <w:sz w:val="21"/>
      <w:lang w:val="en-US" w:eastAsia="zh-CN" w:bidi="ar-SA"/>
    </w:rPr>
  </w:style>
  <w:style w:type="character" w:customStyle="1" w:styleId="87">
    <w:name w:val="标题 6 Char"/>
    <w:link w:val="7"/>
    <w:qFormat/>
    <w:uiPriority w:val="0"/>
    <w:rPr>
      <w:rFonts w:ascii="Arial" w:hAnsi="Arial" w:eastAsia="黑体"/>
      <w:b/>
      <w:sz w:val="24"/>
    </w:rPr>
  </w:style>
  <w:style w:type="character" w:customStyle="1" w:styleId="88">
    <w:name w:val="标题 Char"/>
    <w:basedOn w:val="45"/>
    <w:link w:val="39"/>
    <w:uiPriority w:val="0"/>
    <w:rPr>
      <w:rFonts w:ascii="Cambria" w:hAnsi="Cambria"/>
      <w:b/>
      <w:bCs/>
      <w:kern w:val="2"/>
      <w:sz w:val="28"/>
      <w:szCs w:val="32"/>
    </w:rPr>
  </w:style>
  <w:style w:type="character" w:customStyle="1" w:styleId="89">
    <w:name w:val="三级标题 Char Char"/>
    <w:basedOn w:val="45"/>
    <w:link w:val="90"/>
    <w:uiPriority w:val="0"/>
    <w:rPr>
      <w:b/>
      <w:kern w:val="2"/>
      <w:sz w:val="24"/>
    </w:rPr>
  </w:style>
  <w:style w:type="paragraph" w:customStyle="1" w:styleId="90">
    <w:name w:val="三级标题"/>
    <w:basedOn w:val="4"/>
    <w:link w:val="89"/>
    <w:qFormat/>
    <w:uiPriority w:val="0"/>
    <w:pPr>
      <w:keepNext/>
      <w:keepLines/>
      <w:widowControl w:val="0"/>
      <w:tabs>
        <w:tab w:val="left" w:pos="1260"/>
      </w:tabs>
      <w:adjustRightInd/>
      <w:spacing w:before="120" w:beforeLines="0" w:after="120" w:afterLines="0" w:line="360" w:lineRule="auto"/>
      <w:ind w:left="1260" w:hanging="420"/>
      <w:jc w:val="both"/>
      <w:textAlignment w:val="auto"/>
    </w:pPr>
    <w:rPr>
      <w:b/>
      <w:kern w:val="2"/>
      <w:sz w:val="24"/>
    </w:rPr>
  </w:style>
  <w:style w:type="character" w:customStyle="1" w:styleId="91">
    <w:name w:val="页脚 Char"/>
    <w:basedOn w:val="45"/>
    <w:link w:val="26"/>
    <w:qFormat/>
    <w:uiPriority w:val="0"/>
    <w:rPr>
      <w:kern w:val="2"/>
      <w:sz w:val="18"/>
      <w:szCs w:val="18"/>
    </w:rPr>
  </w:style>
  <w:style w:type="character" w:customStyle="1" w:styleId="92">
    <w:name w:val="Char Char121"/>
    <w:qFormat/>
    <w:uiPriority w:val="0"/>
    <w:rPr>
      <w:b/>
      <w:sz w:val="32"/>
    </w:rPr>
  </w:style>
  <w:style w:type="character" w:customStyle="1" w:styleId="93">
    <w:name w:val="Char Char Char"/>
    <w:qFormat/>
    <w:uiPriority w:val="0"/>
    <w:rPr>
      <w:rFonts w:ascii="宋体" w:hAnsi="Courier New" w:eastAsia="宋体"/>
      <w:lang w:bidi="ar-SA"/>
    </w:rPr>
  </w:style>
  <w:style w:type="character" w:customStyle="1" w:styleId="94">
    <w:name w:val="标题 9 Char"/>
    <w:link w:val="10"/>
    <w:qFormat/>
    <w:uiPriority w:val="0"/>
    <w:rPr>
      <w:rFonts w:ascii="Arial" w:hAnsi="Arial" w:eastAsia="黑体"/>
      <w:sz w:val="28"/>
    </w:rPr>
  </w:style>
  <w:style w:type="character" w:customStyle="1" w:styleId="95">
    <w:name w:val="无间隔 Char"/>
    <w:basedOn w:val="45"/>
    <w:link w:val="96"/>
    <w:qFormat/>
    <w:uiPriority w:val="0"/>
    <w:rPr>
      <w:rFonts w:ascii="Calibri" w:hAnsi="Calibri"/>
      <w:sz w:val="22"/>
      <w:szCs w:val="22"/>
      <w:lang w:val="en-US" w:eastAsia="zh-CN" w:bidi="ar-SA"/>
    </w:rPr>
  </w:style>
  <w:style w:type="paragraph" w:styleId="96">
    <w:name w:val="No Spacing"/>
    <w:link w:val="95"/>
    <w:qFormat/>
    <w:uiPriority w:val="0"/>
    <w:rPr>
      <w:rFonts w:ascii="Calibri" w:hAnsi="Calibri" w:eastAsia="宋体" w:cs="Times New Roman"/>
      <w:sz w:val="22"/>
      <w:szCs w:val="22"/>
      <w:lang w:val="en-US" w:eastAsia="zh-CN" w:bidi="ar-SA"/>
    </w:rPr>
  </w:style>
  <w:style w:type="character" w:customStyle="1" w:styleId="97">
    <w:name w:val="标题 2 Char"/>
    <w:link w:val="3"/>
    <w:uiPriority w:val="0"/>
    <w:rPr>
      <w:rFonts w:ascii="Arial" w:hAnsi="Arial" w:eastAsia="黑体"/>
      <w:b/>
      <w:sz w:val="28"/>
    </w:rPr>
  </w:style>
  <w:style w:type="paragraph" w:customStyle="1" w:styleId="98">
    <w:name w:val="样式 黑体 小四 加粗 黑色 居中 行距: 固定值 26 磅"/>
    <w:basedOn w:val="1"/>
    <w:next w:val="21"/>
    <w:uiPriority w:val="0"/>
    <w:pPr>
      <w:spacing w:line="520" w:lineRule="exact"/>
      <w:jc w:val="center"/>
    </w:pPr>
    <w:rPr>
      <w:rFonts w:ascii="楷体_GB2312" w:hAnsi="黑体" w:eastAsia="楷体_GB2312"/>
      <w:color w:val="000000"/>
      <w:sz w:val="28"/>
      <w:szCs w:val="20"/>
    </w:rPr>
  </w:style>
  <w:style w:type="paragraph" w:customStyle="1" w:styleId="99">
    <w:name w:val="默认段落字体 Para Char"/>
    <w:basedOn w:val="1"/>
    <w:next w:val="1"/>
    <w:uiPriority w:val="0"/>
    <w:pPr>
      <w:spacing w:line="360" w:lineRule="auto"/>
      <w:ind w:firstLine="200" w:firstLineChars="200"/>
    </w:pPr>
    <w:rPr>
      <w:rFonts w:ascii="宋体" w:hAnsi="宋体" w:cs="宋体"/>
      <w:sz w:val="24"/>
    </w:rPr>
  </w:style>
  <w:style w:type="paragraph" w:customStyle="1" w:styleId="100">
    <w:name w:val="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1">
    <w:name w:val=" Char Char Char Char Char Char Char"/>
    <w:basedOn w:val="1"/>
    <w:uiPriority w:val="0"/>
    <w:pPr>
      <w:adjustRightInd w:val="0"/>
      <w:spacing w:line="360" w:lineRule="auto"/>
    </w:pPr>
    <w:rPr>
      <w:kern w:val="0"/>
      <w:sz w:val="24"/>
      <w:szCs w:val="20"/>
    </w:rPr>
  </w:style>
  <w:style w:type="paragraph" w:customStyle="1" w:styleId="102">
    <w:name w:val="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3">
    <w:name w:val="表格2"/>
    <w:basedOn w:val="1"/>
    <w:uiPriority w:val="0"/>
    <w:pPr>
      <w:spacing w:line="320" w:lineRule="exact"/>
      <w:jc w:val="center"/>
    </w:pPr>
    <w:rPr>
      <w:sz w:val="24"/>
      <w:szCs w:val="28"/>
    </w:rPr>
  </w:style>
  <w:style w:type="paragraph" w:customStyle="1" w:styleId="104">
    <w:name w:val="报告书表格"/>
    <w:basedOn w:val="1"/>
    <w:uiPriority w:val="0"/>
    <w:pPr>
      <w:adjustRightInd w:val="0"/>
      <w:spacing w:before="60" w:beforeLines="0" w:after="60" w:afterLines="0" w:line="240" w:lineRule="atLeast"/>
      <w:jc w:val="center"/>
      <w:textAlignment w:val="baseline"/>
    </w:pPr>
    <w:rPr>
      <w:kern w:val="0"/>
      <w:szCs w:val="20"/>
    </w:rPr>
  </w:style>
  <w:style w:type="paragraph" w:customStyle="1" w:styleId="105">
    <w:name w:val="中文报告书"/>
    <w:basedOn w:val="1"/>
    <w:uiPriority w:val="0"/>
    <w:pPr>
      <w:adjustRightInd w:val="0"/>
      <w:spacing w:after="80" w:afterLines="0" w:line="420" w:lineRule="atLeast"/>
      <w:jc w:val="left"/>
      <w:textAlignment w:val="baseline"/>
    </w:pPr>
    <w:rPr>
      <w:kern w:val="0"/>
      <w:sz w:val="24"/>
      <w:szCs w:val="20"/>
    </w:rPr>
  </w:style>
  <w:style w:type="paragraph" w:customStyle="1" w:styleId="106">
    <w:name w:val="样式1"/>
    <w:basedOn w:val="1"/>
    <w:uiPriority w:val="0"/>
    <w:pPr>
      <w:spacing w:after="40" w:afterLines="0" w:line="300" w:lineRule="atLeast"/>
      <w:jc w:val="center"/>
      <w:outlineLvl w:val="2"/>
    </w:pPr>
    <w:rPr>
      <w:rFonts w:eastAsia="楷体_GB2312"/>
      <w:szCs w:val="20"/>
    </w:rPr>
  </w:style>
  <w:style w:type="paragraph" w:customStyle="1" w:styleId="107">
    <w:name w:val="表内格式"/>
    <w:basedOn w:val="1"/>
    <w:uiPriority w:val="0"/>
    <w:pPr>
      <w:spacing w:line="240" w:lineRule="exact"/>
      <w:jc w:val="center"/>
    </w:pPr>
    <w:rPr>
      <w:rFonts w:ascii="宋体" w:hAnsi="宋体"/>
      <w:szCs w:val="20"/>
    </w:rPr>
  </w:style>
  <w:style w:type="paragraph" w:customStyle="1" w:styleId="108">
    <w:name w:val="jie"/>
    <w:basedOn w:val="1"/>
    <w:uiPriority w:val="0"/>
    <w:pPr>
      <w:widowControl/>
      <w:spacing w:before="100" w:beforeLines="0" w:beforeAutospacing="1" w:after="100" w:afterLines="0" w:afterAutospacing="1"/>
      <w:jc w:val="left"/>
    </w:pPr>
    <w:rPr>
      <w:rFonts w:ascii="宋体" w:hAnsi="宋体"/>
      <w:kern w:val="0"/>
      <w:sz w:val="24"/>
    </w:rPr>
  </w:style>
  <w:style w:type="paragraph" w:customStyle="1" w:styleId="109">
    <w:name w:val=" Char1"/>
    <w:basedOn w:val="1"/>
    <w:uiPriority w:val="0"/>
    <w:pPr>
      <w:spacing w:line="360" w:lineRule="auto"/>
      <w:ind w:firstLine="200" w:firstLineChars="200"/>
    </w:pPr>
    <w:rPr>
      <w:rFonts w:ascii="宋体" w:hAnsi="宋体" w:cs="宋体"/>
      <w:sz w:val="24"/>
    </w:rPr>
  </w:style>
  <w:style w:type="paragraph" w:customStyle="1" w:styleId="110">
    <w:name w:val=" Char Char Char Char Char Char Char Char Char Char"/>
    <w:basedOn w:val="1"/>
    <w:uiPriority w:val="0"/>
    <w:pPr>
      <w:snapToGrid w:val="0"/>
      <w:spacing w:line="360" w:lineRule="auto"/>
      <w:ind w:firstLine="529" w:firstLineChars="200"/>
    </w:pPr>
    <w:rPr>
      <w:rFonts w:ascii="宋体" w:hAnsi="宋体"/>
      <w:b/>
    </w:rPr>
  </w:style>
  <w:style w:type="paragraph" w:customStyle="1" w:styleId="111">
    <w:name w:val="tt1"/>
    <w:basedOn w:val="1"/>
    <w:uiPriority w:val="0"/>
    <w:pPr>
      <w:widowControl/>
      <w:spacing w:before="100" w:beforeLines="0" w:beforeAutospacing="1" w:after="100" w:afterLines="0" w:afterAutospacing="1"/>
      <w:jc w:val="left"/>
    </w:pPr>
    <w:rPr>
      <w:rFonts w:ascii="宋体" w:hAnsi="宋体"/>
      <w:kern w:val="0"/>
      <w:sz w:val="24"/>
    </w:rPr>
  </w:style>
  <w:style w:type="paragraph" w:customStyle="1" w:styleId="112">
    <w:name w:val="正文内容"/>
    <w:basedOn w:val="1"/>
    <w:link w:val="147"/>
    <w:uiPriority w:val="0"/>
    <w:pPr>
      <w:spacing w:line="360" w:lineRule="auto"/>
      <w:ind w:firstLine="200" w:firstLineChars="200"/>
    </w:pPr>
    <w:rPr>
      <w:rFonts w:ascii="宋体"/>
      <w:sz w:val="24"/>
      <w:szCs w:val="20"/>
    </w:rPr>
  </w:style>
  <w:style w:type="paragraph" w:customStyle="1" w:styleId="113">
    <w:name w:val=" Char2 Char Char Char Char Char Char Char Char Char"/>
    <w:basedOn w:val="1"/>
    <w:uiPriority w:val="0"/>
  </w:style>
  <w:style w:type="paragraph" w:customStyle="1" w:styleId="114">
    <w:name w:val="xl54"/>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top"/>
    </w:pPr>
    <w:rPr>
      <w:rFonts w:ascii="宋体" w:hAnsi="宋体"/>
      <w:kern w:val="0"/>
      <w:szCs w:val="21"/>
    </w:rPr>
  </w:style>
  <w:style w:type="paragraph" w:customStyle="1" w:styleId="115">
    <w:name w:val="表格文字"/>
    <w:basedOn w:val="1"/>
    <w:next w:val="1"/>
    <w:uiPriority w:val="0"/>
    <w:pPr>
      <w:tabs>
        <w:tab w:val="left" w:pos="-3"/>
        <w:tab w:val="left" w:pos="64"/>
        <w:tab w:val="left" w:pos="1144"/>
        <w:tab w:val="left" w:pos="7380"/>
      </w:tabs>
      <w:snapToGrid w:val="0"/>
      <w:spacing w:line="400" w:lineRule="exact"/>
    </w:pPr>
    <w:rPr>
      <w:sz w:val="24"/>
      <w:szCs w:val="20"/>
    </w:rPr>
  </w:style>
  <w:style w:type="paragraph" w:customStyle="1" w:styleId="116">
    <w:name w:val="Body Text Indent"/>
    <w:basedOn w:val="1"/>
    <w:uiPriority w:val="0"/>
    <w:pPr>
      <w:widowControl/>
      <w:adjustRightInd w:val="0"/>
      <w:snapToGrid w:val="0"/>
      <w:spacing w:after="120" w:afterLines="0"/>
      <w:ind w:left="420" w:leftChars="200"/>
      <w:jc w:val="left"/>
    </w:pPr>
    <w:rPr>
      <w:rFonts w:ascii="Tahoma" w:hAnsi="Tahoma" w:eastAsia="微软雅黑" w:cs="黑体"/>
      <w:kern w:val="0"/>
      <w:sz w:val="22"/>
      <w:szCs w:val="22"/>
    </w:rPr>
  </w:style>
  <w:style w:type="paragraph" w:customStyle="1" w:styleId="117">
    <w:name w:val="Char Char Char Char Char Char Char1"/>
    <w:basedOn w:val="1"/>
    <w:uiPriority w:val="0"/>
    <w:pPr>
      <w:widowControl/>
      <w:spacing w:after="160" w:afterLines="0" w:line="240" w:lineRule="exact"/>
      <w:jc w:val="left"/>
    </w:pPr>
    <w:rPr>
      <w:rFonts w:ascii="Verdana" w:hAnsi="Verdana" w:eastAsia="仿宋_GB2312"/>
      <w:kern w:val="0"/>
      <w:sz w:val="30"/>
      <w:szCs w:val="30"/>
      <w:lang w:eastAsia="en-US"/>
    </w:rPr>
  </w:style>
  <w:style w:type="paragraph" w:customStyle="1" w:styleId="118">
    <w:name w:val="二级标题 Char Char Char"/>
    <w:basedOn w:val="1"/>
    <w:next w:val="1"/>
    <w:uiPriority w:val="0"/>
    <w:pPr>
      <w:ind w:firstLine="200" w:firstLineChars="200"/>
    </w:pPr>
    <w:rPr>
      <w:rFonts w:ascii="宋体" w:hAnsi="宋体" w:cs="宋体"/>
      <w:sz w:val="24"/>
    </w:rPr>
  </w:style>
  <w:style w:type="paragraph" w:customStyle="1" w:styleId="119">
    <w:name w:val="标题2"/>
    <w:basedOn w:val="3"/>
    <w:uiPriority w:val="0"/>
    <w:pPr>
      <w:keepNext/>
      <w:keepLines/>
      <w:widowControl w:val="0"/>
      <w:adjustRightInd/>
      <w:spacing w:before="260" w:beforeLines="0" w:after="260" w:afterLines="0" w:line="240" w:lineRule="auto"/>
      <w:textAlignment w:val="auto"/>
    </w:pPr>
    <w:rPr>
      <w:rFonts w:ascii="仿宋_GB2312" w:hAnsi="宋体" w:eastAsia="楷体_GB2312"/>
      <w:b w:val="0"/>
      <w:kern w:val="2"/>
      <w:sz w:val="36"/>
      <w:szCs w:val="32"/>
    </w:rPr>
  </w:style>
  <w:style w:type="paragraph" w:customStyle="1" w:styleId="120">
    <w:name w:val="MathematicaCellOutput"/>
    <w:uiPriority w:val="0"/>
    <w:pPr>
      <w:widowControl w:val="0"/>
      <w:autoSpaceDE w:val="0"/>
      <w:autoSpaceDN w:val="0"/>
      <w:adjustRightInd w:val="0"/>
    </w:pPr>
    <w:rPr>
      <w:rFonts w:ascii="Times" w:hAnsi="Times" w:eastAsia="宋体" w:cs="Times"/>
      <w:sz w:val="24"/>
      <w:szCs w:val="24"/>
      <w:lang w:val="en-US" w:eastAsia="zh-CN" w:bidi="ar-SA"/>
    </w:rPr>
  </w:style>
  <w:style w:type="paragraph" w:customStyle="1" w:styleId="121">
    <w:name w:val="Default Paragraph Font Para Char"/>
    <w:basedOn w:val="1"/>
    <w:uiPriority w:val="0"/>
    <w:pPr>
      <w:widowControl/>
      <w:spacing w:after="160" w:afterLines="0" w:line="240" w:lineRule="exact"/>
      <w:jc w:val="left"/>
    </w:pPr>
    <w:rPr>
      <w:rFonts w:ascii="Verdana" w:hAnsi="Verdana"/>
      <w:kern w:val="0"/>
      <w:sz w:val="20"/>
      <w:szCs w:val="20"/>
      <w:lang w:eastAsia="en-US"/>
    </w:rPr>
  </w:style>
  <w:style w:type="paragraph" w:customStyle="1" w:styleId="122">
    <w:name w:val="ch中文正文"/>
    <w:uiPriority w:val="0"/>
    <w:pPr>
      <w:spacing w:before="156" w:beforeLines="50" w:after="156" w:afterLines="50" w:line="360" w:lineRule="auto"/>
      <w:ind w:firstLine="200" w:firstLineChars="200"/>
    </w:pPr>
    <w:rPr>
      <w:rFonts w:ascii="Times New Roman" w:hAnsi="Times New Roman" w:eastAsia="宋体" w:cs="Times New Roman"/>
      <w:sz w:val="24"/>
      <w:lang w:val="en-US" w:eastAsia="zh-CN" w:bidi="ar-SA"/>
    </w:rPr>
  </w:style>
  <w:style w:type="paragraph" w:customStyle="1" w:styleId="123">
    <w:name w:val="表头样式1"/>
    <w:basedOn w:val="1"/>
    <w:uiPriority w:val="0"/>
    <w:pPr>
      <w:ind w:firstLine="2400" w:firstLineChars="1000"/>
    </w:pPr>
    <w:rPr>
      <w:rFonts w:eastAsia="楷体_GB2312"/>
      <w:bCs/>
      <w:sz w:val="24"/>
      <w:szCs w:val="20"/>
    </w:rPr>
  </w:style>
  <w:style w:type="paragraph" w:customStyle="1" w:styleId="124">
    <w:name w:val="Char2"/>
    <w:basedOn w:val="1"/>
    <w:uiPriority w:val="0"/>
  </w:style>
  <w:style w:type="paragraph" w:customStyle="1" w:styleId="125">
    <w:name w:val="列表2"/>
    <w:basedOn w:val="30"/>
    <w:uiPriority w:val="0"/>
    <w:pPr>
      <w:widowControl w:val="0"/>
      <w:tabs>
        <w:tab w:val="left" w:pos="7020"/>
        <w:tab w:val="left" w:pos="8280"/>
        <w:tab w:val="clear" w:pos="426"/>
      </w:tabs>
      <w:autoSpaceDE/>
      <w:autoSpaceDN/>
      <w:spacing w:line="480" w:lineRule="exact"/>
      <w:jc w:val="both"/>
    </w:pPr>
    <w:rPr>
      <w:snapToGrid/>
      <w:sz w:val="24"/>
    </w:rPr>
  </w:style>
  <w:style w:type="paragraph" w:customStyle="1" w:styleId="126">
    <w:name w:val="xl25"/>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top"/>
    </w:pPr>
    <w:rPr>
      <w:rFonts w:ascii="Arial Unicode MS" w:hAnsi="Arial Unicode MS"/>
      <w:kern w:val="0"/>
      <w:szCs w:val="21"/>
    </w:rPr>
  </w:style>
  <w:style w:type="paragraph" w:customStyle="1" w:styleId="127">
    <w:name w:val="中文报告书样式"/>
    <w:basedOn w:val="1"/>
    <w:uiPriority w:val="0"/>
    <w:pPr>
      <w:adjustRightInd w:val="0"/>
      <w:spacing w:line="480" w:lineRule="atLeast"/>
      <w:ind w:firstLine="482"/>
      <w:textAlignment w:val="baseline"/>
    </w:pPr>
    <w:rPr>
      <w:kern w:val="24"/>
      <w:sz w:val="24"/>
      <w:szCs w:val="20"/>
    </w:rPr>
  </w:style>
  <w:style w:type="paragraph" w:customStyle="1" w:styleId="128">
    <w:name w:val="样式 标题 4 + (西文) Times New Roman (中文) 宋体 (符号) 宋体"/>
    <w:basedOn w:val="5"/>
    <w:qFormat/>
    <w:uiPriority w:val="0"/>
    <w:pPr>
      <w:keepNext/>
      <w:keepLines/>
      <w:widowControl w:val="0"/>
      <w:spacing w:before="280" w:beforeLines="0" w:after="290" w:afterLines="0" w:line="376" w:lineRule="atLeast"/>
      <w:ind w:left="1680" w:hanging="420"/>
      <w:jc w:val="both"/>
    </w:pPr>
    <w:rPr>
      <w:b/>
      <w:bCs/>
      <w:kern w:val="44"/>
      <w:sz w:val="30"/>
      <w:szCs w:val="28"/>
    </w:rPr>
  </w:style>
  <w:style w:type="paragraph" w:customStyle="1" w:styleId="129">
    <w:name w:val="表格正文"/>
    <w:basedOn w:val="1"/>
    <w:qFormat/>
    <w:uiPriority w:val="0"/>
    <w:pPr>
      <w:jc w:val="center"/>
    </w:pPr>
    <w:rPr>
      <w:rFonts w:ascii="仿宋_GB2312" w:eastAsia="仿宋_GB2312"/>
    </w:rPr>
  </w:style>
  <w:style w:type="paragraph" w:customStyle="1" w:styleId="130">
    <w:name w:val="表头"/>
    <w:basedOn w:val="1"/>
    <w:next w:val="1"/>
    <w:qFormat/>
    <w:uiPriority w:val="0"/>
    <w:pPr>
      <w:tabs>
        <w:tab w:val="left" w:pos="7380"/>
      </w:tabs>
      <w:snapToGrid w:val="0"/>
      <w:spacing w:line="480" w:lineRule="exact"/>
      <w:ind w:firstLineChars="200"/>
      <w:jc w:val="center"/>
    </w:pPr>
    <w:rPr>
      <w:b/>
      <w:sz w:val="24"/>
      <w:szCs w:val="20"/>
    </w:rPr>
  </w:style>
  <w:style w:type="paragraph" w:customStyle="1" w:styleId="131">
    <w:name w:val="样式 正文文本缩进 + Times New Roman 居中"/>
    <w:basedOn w:val="17"/>
    <w:qFormat/>
    <w:uiPriority w:val="0"/>
    <w:pPr>
      <w:adjustRightInd w:val="0"/>
      <w:snapToGrid/>
      <w:spacing w:line="480" w:lineRule="exact"/>
      <w:ind w:firstLine="560" w:firstLineChars="200"/>
      <w:jc w:val="center"/>
      <w:textAlignment w:val="baseline"/>
    </w:pPr>
    <w:rPr>
      <w:kern w:val="0"/>
      <w:sz w:val="28"/>
      <w:szCs w:val="28"/>
    </w:rPr>
  </w:style>
  <w:style w:type="paragraph" w:customStyle="1" w:styleId="132">
    <w:name w:val=" Char Char Char Char Char"/>
    <w:basedOn w:val="1"/>
    <w:qFormat/>
    <w:uiPriority w:val="0"/>
    <w:pPr>
      <w:autoSpaceDE w:val="0"/>
      <w:autoSpaceDN w:val="0"/>
      <w:adjustRightInd w:val="0"/>
      <w:snapToGrid w:val="0"/>
      <w:spacing w:before="50" w:beforeLines="0" w:after="50" w:afterLines="0" w:line="360" w:lineRule="auto"/>
      <w:ind w:firstLine="560" w:firstLineChars="200"/>
    </w:pPr>
    <w:rPr>
      <w:rFonts w:ascii="宋体" w:hAnsi="宋体" w:eastAsia="仿宋_GB2312"/>
      <w:color w:val="000000"/>
      <w:sz w:val="24"/>
    </w:rPr>
  </w:style>
  <w:style w:type="paragraph" w:customStyle="1" w:styleId="133">
    <w:name w:val="样式3"/>
    <w:basedOn w:val="1"/>
    <w:qFormat/>
    <w:uiPriority w:val="0"/>
    <w:pPr>
      <w:autoSpaceDE w:val="0"/>
      <w:autoSpaceDN w:val="0"/>
      <w:snapToGrid w:val="0"/>
      <w:spacing w:before="120" w:beforeLines="0" w:line="460" w:lineRule="atLeast"/>
      <w:jc w:val="center"/>
    </w:pPr>
    <w:rPr>
      <w:rFonts w:eastAsia="黑体"/>
      <w:sz w:val="28"/>
    </w:rPr>
  </w:style>
  <w:style w:type="paragraph" w:customStyle="1" w:styleId="134">
    <w:name w:val="中文正文"/>
    <w:qFormat/>
    <w:uiPriority w:val="0"/>
    <w:pPr>
      <w:spacing w:before="156" w:beforeLines="50" w:after="156" w:afterLines="50" w:line="300" w:lineRule="auto"/>
      <w:ind w:firstLine="480" w:firstLineChars="200"/>
    </w:pPr>
    <w:rPr>
      <w:rFonts w:ascii="Times New Roman" w:hAnsi="Times New Roman" w:eastAsia="宋体" w:cs="Times New Roman"/>
      <w:sz w:val="24"/>
      <w:lang w:val="en-US" w:eastAsia="zh-CN" w:bidi="ar-SA"/>
    </w:rPr>
  </w:style>
  <w:style w:type="paragraph" w:customStyle="1" w:styleId="135">
    <w:name w:val="Char"/>
    <w:basedOn w:val="1"/>
    <w:qFormat/>
    <w:uiPriority w:val="0"/>
    <w:pPr>
      <w:widowControl/>
      <w:spacing w:after="160" w:afterLines="0" w:line="240" w:lineRule="exact"/>
      <w:ind w:left="100" w:leftChars="-100" w:hanging="200" w:hangingChars="200"/>
      <w:jc w:val="left"/>
    </w:pPr>
    <w:rPr>
      <w:rFonts w:ascii="Verdana" w:hAnsi="Verdana"/>
      <w:spacing w:val="8"/>
      <w:kern w:val="0"/>
      <w:sz w:val="20"/>
      <w:szCs w:val="20"/>
      <w:lang w:eastAsia="en-US"/>
    </w:rPr>
  </w:style>
  <w:style w:type="paragraph" w:customStyle="1" w:styleId="136">
    <w:name w:val="Char Char Char Char1"/>
    <w:basedOn w:val="1"/>
    <w:qFormat/>
    <w:uiPriority w:val="0"/>
  </w:style>
  <w:style w:type="paragraph" w:customStyle="1" w:styleId="137">
    <w:name w:val="xl32"/>
    <w:basedOn w:val="1"/>
    <w:qFormat/>
    <w:uiPriority w:val="0"/>
    <w:pPr>
      <w:widowControl/>
      <w:pBdr>
        <w:left w:val="single" w:color="auto" w:sz="4" w:space="0"/>
        <w:bottom w:val="single" w:color="auto" w:sz="4" w:space="0"/>
        <w:right w:val="single" w:color="auto" w:sz="4" w:space="0"/>
      </w:pBdr>
      <w:spacing w:before="100" w:beforeLines="0" w:after="100" w:afterLines="0"/>
      <w:jc w:val="center"/>
      <w:textAlignment w:val="center"/>
    </w:pPr>
    <w:rPr>
      <w:rFonts w:ascii="宋体" w:hAnsi="宋体"/>
      <w:kern w:val="0"/>
      <w:sz w:val="24"/>
      <w:szCs w:val="20"/>
    </w:rPr>
  </w:style>
  <w:style w:type="paragraph" w:styleId="138">
    <w:name w:val="List Paragraph"/>
    <w:basedOn w:val="1"/>
    <w:qFormat/>
    <w:uiPriority w:val="0"/>
    <w:pPr>
      <w:ind w:firstLine="420" w:firstLineChars="200"/>
    </w:pPr>
    <w:rPr>
      <w:rFonts w:ascii="Calibri" w:hAnsi="Calibri" w:eastAsia="宋体" w:cs="Times New Roman"/>
      <w:szCs w:val="22"/>
    </w:rPr>
  </w:style>
  <w:style w:type="paragraph" w:customStyle="1" w:styleId="139">
    <w:name w:val="Char1"/>
    <w:basedOn w:val="1"/>
    <w:qFormat/>
    <w:uiPriority w:val="0"/>
  </w:style>
  <w:style w:type="paragraph" w:customStyle="1" w:styleId="14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1">
    <w:name w:val="Char Char Char Char Char Char Char"/>
    <w:basedOn w:val="1"/>
    <w:qFormat/>
    <w:uiPriority w:val="0"/>
    <w:pPr>
      <w:widowControl/>
      <w:spacing w:after="160" w:afterLines="0" w:line="240" w:lineRule="exact"/>
      <w:jc w:val="left"/>
    </w:pPr>
    <w:rPr>
      <w:rFonts w:ascii="Verdana" w:hAnsi="Verdana" w:eastAsia="仿宋_GB2312"/>
      <w:kern w:val="0"/>
      <w:sz w:val="30"/>
      <w:szCs w:val="30"/>
      <w:lang w:eastAsia="en-US"/>
    </w:rPr>
  </w:style>
  <w:style w:type="paragraph" w:customStyle="1" w:styleId="142">
    <w:name w:val="表格"/>
    <w:basedOn w:val="1"/>
    <w:uiPriority w:val="0"/>
    <w:pPr>
      <w:jc w:val="center"/>
    </w:pPr>
    <w:rPr>
      <w:sz w:val="24"/>
      <w:szCs w:val="20"/>
    </w:rPr>
  </w:style>
  <w:style w:type="paragraph" w:customStyle="1" w:styleId="143">
    <w:name w:val="样式2"/>
    <w:basedOn w:val="106"/>
    <w:uiPriority w:val="0"/>
    <w:pPr>
      <w:adjustRightInd w:val="0"/>
      <w:spacing w:after="0" w:afterLines="0" w:line="360" w:lineRule="auto"/>
      <w:textAlignment w:val="baseline"/>
      <w:outlineLvl w:val="9"/>
    </w:pPr>
    <w:rPr>
      <w:kern w:val="28"/>
    </w:rPr>
  </w:style>
  <w:style w:type="paragraph" w:customStyle="1" w:styleId="144">
    <w:name w:val="Char Char Char Char"/>
    <w:basedOn w:val="1"/>
    <w:uiPriority w:val="0"/>
  </w:style>
  <w:style w:type="paragraph" w:customStyle="1" w:styleId="145">
    <w:name w:val="简单回函地址"/>
    <w:basedOn w:val="1"/>
    <w:uiPriority w:val="0"/>
    <w:rPr>
      <w:szCs w:val="20"/>
    </w:rPr>
  </w:style>
  <w:style w:type="paragraph" w:customStyle="1" w:styleId="146">
    <w:name w:val="Char Char Char Char Char Char Char2"/>
    <w:basedOn w:val="1"/>
    <w:uiPriority w:val="0"/>
    <w:pPr>
      <w:widowControl/>
      <w:spacing w:after="160" w:afterLines="0" w:line="240" w:lineRule="exact"/>
      <w:jc w:val="left"/>
    </w:pPr>
    <w:rPr>
      <w:rFonts w:ascii="Verdana" w:hAnsi="Verdana" w:eastAsia="仿宋_GB2312"/>
      <w:kern w:val="0"/>
      <w:sz w:val="30"/>
      <w:szCs w:val="30"/>
      <w:lang w:eastAsia="en-US"/>
    </w:rPr>
  </w:style>
  <w:style w:type="character" w:customStyle="1" w:styleId="147">
    <w:name w:val="正文内容 Char Char"/>
    <w:basedOn w:val="45"/>
    <w:link w:val="112"/>
    <w:uiPriority w:val="0"/>
    <w:rPr>
      <w:rFonts w:ascii="宋体"/>
      <w:kern w:val="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33.jpeg"/><Relationship Id="rId64" Type="http://schemas.openxmlformats.org/officeDocument/2006/relationships/image" Target="media/image32.jpeg"/><Relationship Id="rId63" Type="http://schemas.openxmlformats.org/officeDocument/2006/relationships/image" Target="media/image31.jpeg"/><Relationship Id="rId62" Type="http://schemas.openxmlformats.org/officeDocument/2006/relationships/image" Target="media/image30.jpeg"/><Relationship Id="rId61" Type="http://schemas.openxmlformats.org/officeDocument/2006/relationships/image" Target="media/image29.jpeg"/><Relationship Id="rId60" Type="http://schemas.openxmlformats.org/officeDocument/2006/relationships/image" Target="media/image28.jpeg"/><Relationship Id="rId6" Type="http://schemas.openxmlformats.org/officeDocument/2006/relationships/footer" Target="footer4.xml"/><Relationship Id="rId59" Type="http://schemas.openxmlformats.org/officeDocument/2006/relationships/image" Target="media/image27.emf"/><Relationship Id="rId58" Type="http://schemas.openxmlformats.org/officeDocument/2006/relationships/image" Target="media/image26.emf"/><Relationship Id="rId57" Type="http://schemas.openxmlformats.org/officeDocument/2006/relationships/image" Target="media/image25.emf"/><Relationship Id="rId56" Type="http://schemas.openxmlformats.org/officeDocument/2006/relationships/image" Target="media/image24.jpeg"/><Relationship Id="rId55" Type="http://schemas.openxmlformats.org/officeDocument/2006/relationships/chart" Target="charts/chart2.xml"/><Relationship Id="rId54" Type="http://schemas.openxmlformats.org/officeDocument/2006/relationships/image" Target="media/image23.wmf"/><Relationship Id="rId53" Type="http://schemas.openxmlformats.org/officeDocument/2006/relationships/oleObject" Target="embeddings/oleObject23.bin"/><Relationship Id="rId52" Type="http://schemas.openxmlformats.org/officeDocument/2006/relationships/chart" Target="charts/chart1.xml"/><Relationship Id="rId51" Type="http://schemas.openxmlformats.org/officeDocument/2006/relationships/image" Target="media/image22.wmf"/><Relationship Id="rId50" Type="http://schemas.openxmlformats.org/officeDocument/2006/relationships/oleObject" Target="embeddings/oleObject22.bin"/><Relationship Id="rId5" Type="http://schemas.openxmlformats.org/officeDocument/2006/relationships/footer" Target="footer3.xml"/><Relationship Id="rId49" Type="http://schemas.openxmlformats.org/officeDocument/2006/relationships/image" Target="media/image21.wmf"/><Relationship Id="rId48" Type="http://schemas.openxmlformats.org/officeDocument/2006/relationships/oleObject" Target="embeddings/oleObject21.bin"/><Relationship Id="rId47" Type="http://schemas.openxmlformats.org/officeDocument/2006/relationships/image" Target="media/image20.wmf"/><Relationship Id="rId46" Type="http://schemas.openxmlformats.org/officeDocument/2006/relationships/oleObject" Target="embeddings/oleObject20.bin"/><Relationship Id="rId45" Type="http://schemas.openxmlformats.org/officeDocument/2006/relationships/image" Target="media/image19.wmf"/><Relationship Id="rId44" Type="http://schemas.openxmlformats.org/officeDocument/2006/relationships/oleObject" Target="embeddings/oleObject19.bin"/><Relationship Id="rId43" Type="http://schemas.openxmlformats.org/officeDocument/2006/relationships/image" Target="media/image18.wmf"/><Relationship Id="rId42" Type="http://schemas.openxmlformats.org/officeDocument/2006/relationships/oleObject" Target="embeddings/oleObject18.bin"/><Relationship Id="rId41" Type="http://schemas.openxmlformats.org/officeDocument/2006/relationships/image" Target="media/image17.wmf"/><Relationship Id="rId40" Type="http://schemas.openxmlformats.org/officeDocument/2006/relationships/oleObject" Target="embeddings/oleObject17.bin"/><Relationship Id="rId4" Type="http://schemas.openxmlformats.org/officeDocument/2006/relationships/footer" Target="footer2.xml"/><Relationship Id="rId39" Type="http://schemas.openxmlformats.org/officeDocument/2006/relationships/image" Target="media/image16.wmf"/><Relationship Id="rId38" Type="http://schemas.openxmlformats.org/officeDocument/2006/relationships/oleObject" Target="embeddings/oleObject16.bin"/><Relationship Id="rId37" Type="http://schemas.openxmlformats.org/officeDocument/2006/relationships/image" Target="media/image15.wmf"/><Relationship Id="rId36" Type="http://schemas.openxmlformats.org/officeDocument/2006/relationships/oleObject" Target="embeddings/oleObject15.bin"/><Relationship Id="rId35" Type="http://schemas.openxmlformats.org/officeDocument/2006/relationships/image" Target="media/image14.wmf"/><Relationship Id="rId34" Type="http://schemas.openxmlformats.org/officeDocument/2006/relationships/oleObject" Target="embeddings/oleObject14.bin"/><Relationship Id="rId33" Type="http://schemas.openxmlformats.org/officeDocument/2006/relationships/image" Target="media/image13.wmf"/><Relationship Id="rId32" Type="http://schemas.openxmlformats.org/officeDocument/2006/relationships/oleObject" Target="embeddings/oleObject13.bin"/><Relationship Id="rId31" Type="http://schemas.openxmlformats.org/officeDocument/2006/relationships/image" Target="media/image12.wmf"/><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1.wmf"/><Relationship Id="rId28" Type="http://schemas.openxmlformats.org/officeDocument/2006/relationships/oleObject" Target="embeddings/oleObject11.bin"/><Relationship Id="rId27" Type="http://schemas.openxmlformats.org/officeDocument/2006/relationships/image" Target="media/image10.wmf"/><Relationship Id="rId26" Type="http://schemas.openxmlformats.org/officeDocument/2006/relationships/oleObject" Target="embeddings/oleObject10.bin"/><Relationship Id="rId25" Type="http://schemas.openxmlformats.org/officeDocument/2006/relationships/image" Target="media/image9.wmf"/><Relationship Id="rId24" Type="http://schemas.openxmlformats.org/officeDocument/2006/relationships/oleObject" Target="embeddings/oleObject9.bin"/><Relationship Id="rId23" Type="http://schemas.openxmlformats.org/officeDocument/2006/relationships/image" Target="media/image8.wmf"/><Relationship Id="rId22" Type="http://schemas.openxmlformats.org/officeDocument/2006/relationships/oleObject" Target="embeddings/oleObject8.bin"/><Relationship Id="rId21" Type="http://schemas.openxmlformats.org/officeDocument/2006/relationships/image" Target="media/image7.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wmf"/><Relationship Id="rId14" Type="http://schemas.openxmlformats.org/officeDocument/2006/relationships/oleObject" Target="embeddings/oleObject4.bin"/><Relationship Id="rId13" Type="http://schemas.openxmlformats.org/officeDocument/2006/relationships/image" Target="media/image3.wmf"/><Relationship Id="rId12" Type="http://schemas.openxmlformats.org/officeDocument/2006/relationships/oleObject" Target="embeddings/oleObject3.bin"/><Relationship Id="rId11" Type="http://schemas.openxmlformats.org/officeDocument/2006/relationships/image" Target="media/image2.wmf"/><Relationship Id="rId10" Type="http://schemas.openxmlformats.org/officeDocument/2006/relationships/oleObject" Target="embeddings/oleObject2.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2&#29305;&#27530;&#31867;&#39033;&#30446;\1&#27827;&#21271;&#36755;&#21464;&#30005;&#39033;&#30446;\2016&#24180;&#39033;&#30446;\1&#20445;&#23450;&#35199;&#21271;&#28909;&#30005;&#21378;&#36865;&#20986;&#24037;&#31243;\&#29615;&#35780;&#25253;&#21578;\&#26032;&#24314;%20Microsoft%20Office%20Excel%2097-2003%20&#24037;&#20316;&#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29305;&#27530;&#31867;&#39033;&#30446;\1&#27827;&#21271;&#36755;&#21464;&#30005;&#39033;&#30446;\2016&#24180;&#39033;&#30446;\1&#20445;&#23450;&#35199;&#21271;&#28909;&#30005;&#21378;&#36865;&#20986;&#24037;&#31243;\&#29615;&#35780;&#25253;&#21578;\&#26032;&#24314;%20Microsoft%20Office%20Excel%2097-2003%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1.5m高处电场水平分量(kV/m)</c:v>
                </c:pt>
              </c:strCache>
            </c:strRef>
          </c:tx>
          <c:dLbls>
            <c:delete val="1"/>
          </c:dLbls>
          <c:cat>
            <c:numRef>
              <c:f>Sheet1!$A$2:$A$18</c:f>
              <c:numCache>
                <c:formatCode>General</c:formatCode>
                <c:ptCount val="17"/>
                <c:pt idx="0">
                  <c:v>-40</c:v>
                </c:pt>
                <c:pt idx="1">
                  <c:v>-35</c:v>
                </c:pt>
                <c:pt idx="2">
                  <c:v>-30</c:v>
                </c:pt>
                <c:pt idx="3">
                  <c:v>-25</c:v>
                </c:pt>
                <c:pt idx="4">
                  <c:v>-20</c:v>
                </c:pt>
                <c:pt idx="5">
                  <c:v>-15</c:v>
                </c:pt>
                <c:pt idx="6">
                  <c:v>-10</c:v>
                </c:pt>
                <c:pt idx="7">
                  <c:v>-5</c:v>
                </c:pt>
                <c:pt idx="8">
                  <c:v>0</c:v>
                </c:pt>
                <c:pt idx="9">
                  <c:v>5</c:v>
                </c:pt>
                <c:pt idx="10">
                  <c:v>10</c:v>
                </c:pt>
                <c:pt idx="11">
                  <c:v>15</c:v>
                </c:pt>
                <c:pt idx="12">
                  <c:v>20</c:v>
                </c:pt>
                <c:pt idx="13">
                  <c:v>25</c:v>
                </c:pt>
                <c:pt idx="14">
                  <c:v>30</c:v>
                </c:pt>
                <c:pt idx="15">
                  <c:v>35</c:v>
                </c:pt>
                <c:pt idx="16">
                  <c:v>40</c:v>
                </c:pt>
              </c:numCache>
            </c:numRef>
          </c:cat>
          <c:val>
            <c:numRef>
              <c:f>Sheet1!$B$2:$B$18</c:f>
              <c:numCache>
                <c:formatCode>General</c:formatCode>
                <c:ptCount val="17"/>
                <c:pt idx="0">
                  <c:v>0.004</c:v>
                </c:pt>
                <c:pt idx="1">
                  <c:v>0.01</c:v>
                </c:pt>
                <c:pt idx="2">
                  <c:v>0.029</c:v>
                </c:pt>
                <c:pt idx="3">
                  <c:v>0.076</c:v>
                </c:pt>
                <c:pt idx="4">
                  <c:v>0.178</c:v>
                </c:pt>
                <c:pt idx="5">
                  <c:v>0.35</c:v>
                </c:pt>
                <c:pt idx="6">
                  <c:v>0.419</c:v>
                </c:pt>
                <c:pt idx="7">
                  <c:v>0.133</c:v>
                </c:pt>
                <c:pt idx="8">
                  <c:v>0.017</c:v>
                </c:pt>
                <c:pt idx="9">
                  <c:v>0.267</c:v>
                </c:pt>
                <c:pt idx="10">
                  <c:v>0.431</c:v>
                </c:pt>
                <c:pt idx="11">
                  <c:v>0.276</c:v>
                </c:pt>
                <c:pt idx="12">
                  <c:v>0.128</c:v>
                </c:pt>
                <c:pt idx="13">
                  <c:v>0.053</c:v>
                </c:pt>
                <c:pt idx="14">
                  <c:v>0.019</c:v>
                </c:pt>
                <c:pt idx="15">
                  <c:v>0.006</c:v>
                </c:pt>
                <c:pt idx="16">
                  <c:v>0.004</c:v>
                </c:pt>
              </c:numCache>
            </c:numRef>
          </c:val>
          <c:smooth val="1"/>
        </c:ser>
        <c:ser>
          <c:idx val="1"/>
          <c:order val="1"/>
          <c:tx>
            <c:strRef>
              <c:f>Sheet1!$C$1</c:f>
              <c:strCache>
                <c:ptCount val="1"/>
                <c:pt idx="0">
                  <c:v>1.5m高处电场垂直分量(kV/m)</c:v>
                </c:pt>
              </c:strCache>
            </c:strRef>
          </c:tx>
          <c:dLbls>
            <c:delete val="1"/>
          </c:dLbls>
          <c:cat>
            <c:numRef>
              <c:f>Sheet1!$A$2:$A$18</c:f>
              <c:numCache>
                <c:formatCode>General</c:formatCode>
                <c:ptCount val="17"/>
                <c:pt idx="0">
                  <c:v>-40</c:v>
                </c:pt>
                <c:pt idx="1">
                  <c:v>-35</c:v>
                </c:pt>
                <c:pt idx="2">
                  <c:v>-30</c:v>
                </c:pt>
                <c:pt idx="3">
                  <c:v>-25</c:v>
                </c:pt>
                <c:pt idx="4">
                  <c:v>-20</c:v>
                </c:pt>
                <c:pt idx="5">
                  <c:v>-15</c:v>
                </c:pt>
                <c:pt idx="6">
                  <c:v>-10</c:v>
                </c:pt>
                <c:pt idx="7">
                  <c:v>-5</c:v>
                </c:pt>
                <c:pt idx="8">
                  <c:v>0</c:v>
                </c:pt>
                <c:pt idx="9">
                  <c:v>5</c:v>
                </c:pt>
                <c:pt idx="10">
                  <c:v>10</c:v>
                </c:pt>
                <c:pt idx="11">
                  <c:v>15</c:v>
                </c:pt>
                <c:pt idx="12">
                  <c:v>20</c:v>
                </c:pt>
                <c:pt idx="13">
                  <c:v>25</c:v>
                </c:pt>
                <c:pt idx="14">
                  <c:v>30</c:v>
                </c:pt>
                <c:pt idx="15">
                  <c:v>35</c:v>
                </c:pt>
                <c:pt idx="16">
                  <c:v>40</c:v>
                </c:pt>
              </c:numCache>
            </c:numRef>
          </c:cat>
          <c:val>
            <c:numRef>
              <c:f>Sheet1!$C$2:$C$18</c:f>
              <c:numCache>
                <c:formatCode>General</c:formatCode>
                <c:ptCount val="17"/>
                <c:pt idx="0">
                  <c:v>0.224</c:v>
                </c:pt>
                <c:pt idx="1">
                  <c:v>0.218</c:v>
                </c:pt>
                <c:pt idx="2">
                  <c:v>0.169</c:v>
                </c:pt>
                <c:pt idx="3">
                  <c:v>0.066</c:v>
                </c:pt>
                <c:pt idx="4">
                  <c:v>0.394</c:v>
                </c:pt>
                <c:pt idx="5">
                  <c:v>1.24</c:v>
                </c:pt>
                <c:pt idx="6">
                  <c:v>2.618</c:v>
                </c:pt>
                <c:pt idx="7">
                  <c:v>3.599</c:v>
                </c:pt>
                <c:pt idx="8">
                  <c:v>3.709</c:v>
                </c:pt>
                <c:pt idx="9">
                  <c:v>3.34</c:v>
                </c:pt>
                <c:pt idx="10">
                  <c:v>2.034</c:v>
                </c:pt>
                <c:pt idx="11">
                  <c:v>0.83</c:v>
                </c:pt>
                <c:pt idx="12">
                  <c:v>0.204</c:v>
                </c:pt>
                <c:pt idx="13">
                  <c:v>0.104</c:v>
                </c:pt>
                <c:pt idx="14">
                  <c:v>0.196</c:v>
                </c:pt>
                <c:pt idx="15">
                  <c:v>0.223</c:v>
                </c:pt>
                <c:pt idx="16">
                  <c:v>0.22</c:v>
                </c:pt>
              </c:numCache>
            </c:numRef>
          </c:val>
          <c:smooth val="1"/>
        </c:ser>
        <c:ser>
          <c:idx val="2"/>
          <c:order val="2"/>
          <c:tx>
            <c:strRef>
              <c:f>Sheet1!$D$1</c:f>
              <c:strCache>
                <c:ptCount val="1"/>
                <c:pt idx="0">
                  <c:v>1.5m高处电场综合量(kV/m)</c:v>
                </c:pt>
              </c:strCache>
            </c:strRef>
          </c:tx>
          <c:dLbls>
            <c:delete val="1"/>
          </c:dLbls>
          <c:cat>
            <c:numRef>
              <c:f>Sheet1!$A$2:$A$18</c:f>
              <c:numCache>
                <c:formatCode>General</c:formatCode>
                <c:ptCount val="17"/>
                <c:pt idx="0">
                  <c:v>-40</c:v>
                </c:pt>
                <c:pt idx="1">
                  <c:v>-35</c:v>
                </c:pt>
                <c:pt idx="2">
                  <c:v>-30</c:v>
                </c:pt>
                <c:pt idx="3">
                  <c:v>-25</c:v>
                </c:pt>
                <c:pt idx="4">
                  <c:v>-20</c:v>
                </c:pt>
                <c:pt idx="5">
                  <c:v>-15</c:v>
                </c:pt>
                <c:pt idx="6">
                  <c:v>-10</c:v>
                </c:pt>
                <c:pt idx="7">
                  <c:v>-5</c:v>
                </c:pt>
                <c:pt idx="8">
                  <c:v>0</c:v>
                </c:pt>
                <c:pt idx="9">
                  <c:v>5</c:v>
                </c:pt>
                <c:pt idx="10">
                  <c:v>10</c:v>
                </c:pt>
                <c:pt idx="11">
                  <c:v>15</c:v>
                </c:pt>
                <c:pt idx="12">
                  <c:v>20</c:v>
                </c:pt>
                <c:pt idx="13">
                  <c:v>25</c:v>
                </c:pt>
                <c:pt idx="14">
                  <c:v>30</c:v>
                </c:pt>
                <c:pt idx="15">
                  <c:v>35</c:v>
                </c:pt>
                <c:pt idx="16">
                  <c:v>40</c:v>
                </c:pt>
              </c:numCache>
            </c:numRef>
          </c:cat>
          <c:val>
            <c:numRef>
              <c:f>Sheet1!$D$2:$D$18</c:f>
              <c:numCache>
                <c:formatCode>General</c:formatCode>
                <c:ptCount val="17"/>
                <c:pt idx="0">
                  <c:v>0.224</c:v>
                </c:pt>
                <c:pt idx="1">
                  <c:v>0.218</c:v>
                </c:pt>
                <c:pt idx="2">
                  <c:v>0.172</c:v>
                </c:pt>
                <c:pt idx="3">
                  <c:v>0.101</c:v>
                </c:pt>
                <c:pt idx="4">
                  <c:v>0.433</c:v>
                </c:pt>
                <c:pt idx="5">
                  <c:v>1.288</c:v>
                </c:pt>
                <c:pt idx="6">
                  <c:v>2.652</c:v>
                </c:pt>
                <c:pt idx="7">
                  <c:v>3.663</c:v>
                </c:pt>
                <c:pt idx="8">
                  <c:v>3.709</c:v>
                </c:pt>
                <c:pt idx="9">
                  <c:v>3.351</c:v>
                </c:pt>
                <c:pt idx="10">
                  <c:v>2.079</c:v>
                </c:pt>
                <c:pt idx="11">
                  <c:v>0.874</c:v>
                </c:pt>
                <c:pt idx="12">
                  <c:v>0.241</c:v>
                </c:pt>
                <c:pt idx="13">
                  <c:v>0.117</c:v>
                </c:pt>
                <c:pt idx="14">
                  <c:v>0.197</c:v>
                </c:pt>
                <c:pt idx="15">
                  <c:v>0.223</c:v>
                </c:pt>
                <c:pt idx="16">
                  <c:v>0.22</c:v>
                </c:pt>
              </c:numCache>
            </c:numRef>
          </c:val>
          <c:smooth val="1"/>
        </c:ser>
        <c:dLbls>
          <c:showLegendKey val="0"/>
          <c:showVal val="0"/>
          <c:showCatName val="0"/>
          <c:showSerName val="0"/>
          <c:showPercent val="0"/>
          <c:showBubbleSize val="0"/>
        </c:dLbls>
        <c:marker val="1"/>
        <c:smooth val="1"/>
        <c:axId val="157370240"/>
        <c:axId val="157667328"/>
      </c:lineChart>
      <c:catAx>
        <c:axId val="157370240"/>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t>测点到中心点的距离（</a:t>
                </a:r>
                <a:r>
                  <a:rPr lang="en-US"/>
                  <a:t>m</a:t>
                </a:r>
                <a:r>
                  <a:rPr lang="zh-CN"/>
                  <a:t>）</a:t>
                </a:r>
                <a:endParaRPr lang="zh-CN"/>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7667328"/>
        <c:crossesAt val="0"/>
        <c:auto val="1"/>
        <c:lblAlgn val="ctr"/>
        <c:lblOffset val="100"/>
        <c:tickLblSkip val="1"/>
        <c:tickMarkSkip val="5"/>
        <c:noMultiLvlLbl val="0"/>
      </c:catAx>
      <c:valAx>
        <c:axId val="157667328"/>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t>电场强度（</a:t>
                </a:r>
                <a:r>
                  <a:rPr lang="en-US"/>
                  <a:t>kV/m</a:t>
                </a:r>
                <a:r>
                  <a:rPr lang="zh-CN"/>
                  <a:t>）</a:t>
                </a:r>
                <a:endParaRPr lang="zh-CN"/>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7370240"/>
        <c:crosses val="autoZero"/>
        <c:crossBetween val="between"/>
        <c:majorUnit val="0.5"/>
        <c:minorUnit val="0.1"/>
      </c:valAx>
    </c:plotArea>
    <c:legend>
      <c:legendPos val="b"/>
      <c:layout>
        <c:manualLayout>
          <c:xMode val="edge"/>
          <c:yMode val="edge"/>
          <c:x val="0"/>
          <c:y val="0.862032772219262"/>
          <c:w val="1"/>
          <c:h val="0.11761082496266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Sheet1!$B$29</c:f>
              <c:strCache>
                <c:ptCount val="1"/>
                <c:pt idx="0">
                  <c:v>1.5m高处磁感应强度水平分量(μT)</c:v>
                </c:pt>
              </c:strCache>
            </c:strRef>
          </c:tx>
          <c:dLbls>
            <c:delete val="1"/>
          </c:dLbls>
          <c:cat>
            <c:numRef>
              <c:f>Sheet1!$A$30:$A$46</c:f>
              <c:numCache>
                <c:formatCode>General</c:formatCode>
                <c:ptCount val="17"/>
                <c:pt idx="0">
                  <c:v>-40</c:v>
                </c:pt>
                <c:pt idx="1">
                  <c:v>-35</c:v>
                </c:pt>
                <c:pt idx="2">
                  <c:v>-30</c:v>
                </c:pt>
                <c:pt idx="3">
                  <c:v>-25</c:v>
                </c:pt>
                <c:pt idx="4">
                  <c:v>-20</c:v>
                </c:pt>
                <c:pt idx="5">
                  <c:v>-15</c:v>
                </c:pt>
                <c:pt idx="6">
                  <c:v>-10</c:v>
                </c:pt>
                <c:pt idx="7">
                  <c:v>-5</c:v>
                </c:pt>
                <c:pt idx="8">
                  <c:v>0</c:v>
                </c:pt>
                <c:pt idx="9">
                  <c:v>5</c:v>
                </c:pt>
                <c:pt idx="10">
                  <c:v>10</c:v>
                </c:pt>
                <c:pt idx="11">
                  <c:v>15</c:v>
                </c:pt>
                <c:pt idx="12">
                  <c:v>20</c:v>
                </c:pt>
                <c:pt idx="13">
                  <c:v>25</c:v>
                </c:pt>
                <c:pt idx="14">
                  <c:v>30</c:v>
                </c:pt>
                <c:pt idx="15">
                  <c:v>35</c:v>
                </c:pt>
                <c:pt idx="16">
                  <c:v>40</c:v>
                </c:pt>
              </c:numCache>
            </c:numRef>
          </c:cat>
          <c:val>
            <c:numRef>
              <c:f>Sheet1!$B$30:$B$46</c:f>
              <c:numCache>
                <c:formatCode>General</c:formatCode>
                <c:ptCount val="17"/>
                <c:pt idx="0">
                  <c:v>11.52</c:v>
                </c:pt>
                <c:pt idx="1">
                  <c:v>14.6</c:v>
                </c:pt>
                <c:pt idx="2">
                  <c:v>18.94</c:v>
                </c:pt>
                <c:pt idx="3">
                  <c:v>25.21</c:v>
                </c:pt>
                <c:pt idx="4">
                  <c:v>34.57</c:v>
                </c:pt>
                <c:pt idx="5">
                  <c:v>48.67</c:v>
                </c:pt>
                <c:pt idx="6">
                  <c:v>67.14</c:v>
                </c:pt>
                <c:pt idx="7">
                  <c:v>79.86</c:v>
                </c:pt>
                <c:pt idx="8">
                  <c:v>81.63</c:v>
                </c:pt>
                <c:pt idx="9">
                  <c:v>76.37</c:v>
                </c:pt>
                <c:pt idx="10">
                  <c:v>59.6</c:v>
                </c:pt>
                <c:pt idx="11">
                  <c:v>42.36</c:v>
                </c:pt>
                <c:pt idx="12">
                  <c:v>30.35</c:v>
                </c:pt>
                <c:pt idx="13">
                  <c:v>22.41</c:v>
                </c:pt>
                <c:pt idx="14">
                  <c:v>17.02</c:v>
                </c:pt>
                <c:pt idx="15">
                  <c:v>13.25</c:v>
                </c:pt>
                <c:pt idx="16">
                  <c:v>10.53</c:v>
                </c:pt>
              </c:numCache>
            </c:numRef>
          </c:val>
          <c:smooth val="1"/>
        </c:ser>
        <c:ser>
          <c:idx val="1"/>
          <c:order val="1"/>
          <c:tx>
            <c:strRef>
              <c:f>Sheet1!$C$29</c:f>
              <c:strCache>
                <c:ptCount val="1"/>
                <c:pt idx="0">
                  <c:v>1.5m高处磁感应强度垂直分量(μT)</c:v>
                </c:pt>
              </c:strCache>
            </c:strRef>
          </c:tx>
          <c:dLbls>
            <c:delete val="1"/>
          </c:dLbls>
          <c:cat>
            <c:numRef>
              <c:f>Sheet1!$A$30:$A$46</c:f>
              <c:numCache>
                <c:formatCode>General</c:formatCode>
                <c:ptCount val="17"/>
                <c:pt idx="0">
                  <c:v>-40</c:v>
                </c:pt>
                <c:pt idx="1">
                  <c:v>-35</c:v>
                </c:pt>
                <c:pt idx="2">
                  <c:v>-30</c:v>
                </c:pt>
                <c:pt idx="3">
                  <c:v>-25</c:v>
                </c:pt>
                <c:pt idx="4">
                  <c:v>-20</c:v>
                </c:pt>
                <c:pt idx="5">
                  <c:v>-15</c:v>
                </c:pt>
                <c:pt idx="6">
                  <c:v>-10</c:v>
                </c:pt>
                <c:pt idx="7">
                  <c:v>-5</c:v>
                </c:pt>
                <c:pt idx="8">
                  <c:v>0</c:v>
                </c:pt>
                <c:pt idx="9">
                  <c:v>5</c:v>
                </c:pt>
                <c:pt idx="10">
                  <c:v>10</c:v>
                </c:pt>
                <c:pt idx="11">
                  <c:v>15</c:v>
                </c:pt>
                <c:pt idx="12">
                  <c:v>20</c:v>
                </c:pt>
                <c:pt idx="13">
                  <c:v>25</c:v>
                </c:pt>
                <c:pt idx="14">
                  <c:v>30</c:v>
                </c:pt>
                <c:pt idx="15">
                  <c:v>35</c:v>
                </c:pt>
                <c:pt idx="16">
                  <c:v>40</c:v>
                </c:pt>
              </c:numCache>
            </c:numRef>
          </c:cat>
          <c:val>
            <c:numRef>
              <c:f>Sheet1!$C$30:$C$46</c:f>
              <c:numCache>
                <c:formatCode>General</c:formatCode>
                <c:ptCount val="17"/>
                <c:pt idx="0">
                  <c:v>29.96</c:v>
                </c:pt>
                <c:pt idx="1">
                  <c:v>32.95</c:v>
                </c:pt>
                <c:pt idx="2">
                  <c:v>36.33</c:v>
                </c:pt>
                <c:pt idx="3">
                  <c:v>39.96</c:v>
                </c:pt>
                <c:pt idx="4">
                  <c:v>43.23</c:v>
                </c:pt>
                <c:pt idx="5">
                  <c:v>44.04</c:v>
                </c:pt>
                <c:pt idx="6">
                  <c:v>36.55</c:v>
                </c:pt>
                <c:pt idx="7">
                  <c:v>16.88</c:v>
                </c:pt>
                <c:pt idx="8">
                  <c:v>4.06</c:v>
                </c:pt>
                <c:pt idx="9">
                  <c:v>25.67</c:v>
                </c:pt>
                <c:pt idx="10">
                  <c:v>41.08</c:v>
                </c:pt>
                <c:pt idx="11">
                  <c:v>44.28</c:v>
                </c:pt>
                <c:pt idx="12">
                  <c:v>42.04</c:v>
                </c:pt>
                <c:pt idx="13">
                  <c:v>38.5</c:v>
                </c:pt>
                <c:pt idx="14">
                  <c:v>34.94</c:v>
                </c:pt>
                <c:pt idx="15">
                  <c:v>37.71</c:v>
                </c:pt>
                <c:pt idx="16">
                  <c:v>28.88</c:v>
                </c:pt>
              </c:numCache>
            </c:numRef>
          </c:val>
          <c:smooth val="1"/>
        </c:ser>
        <c:ser>
          <c:idx val="2"/>
          <c:order val="2"/>
          <c:tx>
            <c:strRef>
              <c:f>Sheet1!$D$29</c:f>
              <c:strCache>
                <c:ptCount val="1"/>
                <c:pt idx="0">
                  <c:v>1.5m高处磁感应强度综合量(μT)</c:v>
                </c:pt>
              </c:strCache>
            </c:strRef>
          </c:tx>
          <c:dLbls>
            <c:delete val="1"/>
          </c:dLbls>
          <c:cat>
            <c:numRef>
              <c:f>Sheet1!$A$30:$A$46</c:f>
              <c:numCache>
                <c:formatCode>General</c:formatCode>
                <c:ptCount val="17"/>
                <c:pt idx="0">
                  <c:v>-40</c:v>
                </c:pt>
                <c:pt idx="1">
                  <c:v>-35</c:v>
                </c:pt>
                <c:pt idx="2">
                  <c:v>-30</c:v>
                </c:pt>
                <c:pt idx="3">
                  <c:v>-25</c:v>
                </c:pt>
                <c:pt idx="4">
                  <c:v>-20</c:v>
                </c:pt>
                <c:pt idx="5">
                  <c:v>-15</c:v>
                </c:pt>
                <c:pt idx="6">
                  <c:v>-10</c:v>
                </c:pt>
                <c:pt idx="7">
                  <c:v>-5</c:v>
                </c:pt>
                <c:pt idx="8">
                  <c:v>0</c:v>
                </c:pt>
                <c:pt idx="9">
                  <c:v>5</c:v>
                </c:pt>
                <c:pt idx="10">
                  <c:v>10</c:v>
                </c:pt>
                <c:pt idx="11">
                  <c:v>15</c:v>
                </c:pt>
                <c:pt idx="12">
                  <c:v>20</c:v>
                </c:pt>
                <c:pt idx="13">
                  <c:v>25</c:v>
                </c:pt>
                <c:pt idx="14">
                  <c:v>30</c:v>
                </c:pt>
                <c:pt idx="15">
                  <c:v>35</c:v>
                </c:pt>
                <c:pt idx="16">
                  <c:v>40</c:v>
                </c:pt>
              </c:numCache>
            </c:numRef>
          </c:cat>
          <c:val>
            <c:numRef>
              <c:f>Sheet1!$D$30:$D$46</c:f>
              <c:numCache>
                <c:formatCode>General</c:formatCode>
                <c:ptCount val="17"/>
                <c:pt idx="0">
                  <c:v>32.1</c:v>
                </c:pt>
                <c:pt idx="1">
                  <c:v>36.04</c:v>
                </c:pt>
                <c:pt idx="2">
                  <c:v>40.97</c:v>
                </c:pt>
                <c:pt idx="3">
                  <c:v>47.24</c:v>
                </c:pt>
                <c:pt idx="4">
                  <c:v>55.35</c:v>
                </c:pt>
                <c:pt idx="5">
                  <c:v>65.64</c:v>
                </c:pt>
                <c:pt idx="6">
                  <c:v>76.45</c:v>
                </c:pt>
                <c:pt idx="7">
                  <c:v>81.62</c:v>
                </c:pt>
                <c:pt idx="8">
                  <c:v>81.73</c:v>
                </c:pt>
                <c:pt idx="9">
                  <c:v>80.57</c:v>
                </c:pt>
                <c:pt idx="10">
                  <c:v>72.38</c:v>
                </c:pt>
                <c:pt idx="11">
                  <c:v>61.28</c:v>
                </c:pt>
                <c:pt idx="12">
                  <c:v>51.85</c:v>
                </c:pt>
                <c:pt idx="13">
                  <c:v>44.54</c:v>
                </c:pt>
                <c:pt idx="14">
                  <c:v>38.86</c:v>
                </c:pt>
                <c:pt idx="15">
                  <c:v>34.36</c:v>
                </c:pt>
                <c:pt idx="16">
                  <c:v>30.74</c:v>
                </c:pt>
              </c:numCache>
            </c:numRef>
          </c:val>
          <c:smooth val="1"/>
        </c:ser>
        <c:dLbls>
          <c:showLegendKey val="0"/>
          <c:showVal val="0"/>
          <c:showCatName val="0"/>
          <c:showSerName val="0"/>
          <c:showPercent val="0"/>
          <c:showBubbleSize val="0"/>
        </c:dLbls>
        <c:marker val="1"/>
        <c:smooth val="1"/>
        <c:axId val="157677440"/>
        <c:axId val="197017984"/>
      </c:lineChart>
      <c:catAx>
        <c:axId val="157677440"/>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测点到中心点的距离（</a:t>
                </a:r>
                <a:r>
                  <a:rPr lang="en-US" altLang="zh-CN"/>
                  <a:t>m</a:t>
                </a:r>
                <a:r>
                  <a:rPr lang="zh-CN" altLang="en-US"/>
                  <a:t>）</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7017984"/>
        <c:crosses val="autoZero"/>
        <c:auto val="1"/>
        <c:lblAlgn val="ctr"/>
        <c:lblOffset val="100"/>
        <c:noMultiLvlLbl val="0"/>
      </c:catAx>
      <c:valAx>
        <c:axId val="197017984"/>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磁感应强度（</a:t>
                </a:r>
                <a:r>
                  <a:rPr lang="en-US" altLang="zh-CN"/>
                  <a:t>μT</a:t>
                </a:r>
                <a:r>
                  <a:rPr lang="zh-CN" altLang="en-US"/>
                  <a:t>）</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7677440"/>
        <c:crosses val="autoZero"/>
        <c:crossBetween val="between"/>
      </c:valAx>
    </c:plotArea>
    <c:legend>
      <c:legendPos val="b"/>
      <c:layout>
        <c:manualLayout>
          <c:xMode val="edge"/>
          <c:yMode val="edge"/>
          <c:x val="0.0570846075433232"/>
          <c:y val="0.856605764085315"/>
          <c:w val="0.942915392456677"/>
          <c:h val="0.143394235914685"/>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zhjh</Company>
  <Pages>50</Pages>
  <Words>3582</Words>
  <Characters>20421</Characters>
  <Lines>170</Lines>
  <Paragraphs>47</Paragraphs>
  <TotalTime>4</TotalTime>
  <ScaleCrop>false</ScaleCrop>
  <LinksUpToDate>false</LinksUpToDate>
  <CharactersWithSpaces>23956</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2016-02-01T23:27:00Z</dcterms:created>
  <dc:creator>zq</dc:creator>
  <cp:lastModifiedBy>Life</cp:lastModifiedBy>
  <cp:lastPrinted>2015-12-30T20:14:00Z</cp:lastPrinted>
  <dcterms:modified xsi:type="dcterms:W3CDTF">2025-05-06T17:36:22Z</dcterms:modified>
  <dc:title>光通信环评</dc:title>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C6FDF4643584C82716D8196821D17ABB_43</vt:lpwstr>
  </property>
</Properties>
</file>