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872"/>
        </w:tabs>
        <w:ind w:firstLine="562"/>
        <w:jc w:val="left"/>
        <w:rPr>
          <w:rFonts w:hint="eastAsia" w:eastAsia="楷体"/>
          <w:b/>
          <w:sz w:val="28"/>
          <w:szCs w:val="28"/>
          <w:lang w:eastAsia="zh-CN"/>
        </w:rPr>
      </w:pPr>
      <w:r>
        <w:rPr>
          <w:rFonts w:hint="eastAsia"/>
          <w:b/>
          <w:sz w:val="28"/>
          <w:szCs w:val="28"/>
          <w:lang w:eastAsia="zh-CN"/>
        </w:rPr>
        <w:tab/>
      </w:r>
    </w:p>
    <w:p>
      <w:pPr>
        <w:ind w:firstLine="562"/>
        <w:jc w:val="center"/>
        <w:rPr>
          <w:b/>
          <w:sz w:val="28"/>
          <w:szCs w:val="28"/>
        </w:rPr>
      </w:pPr>
    </w:p>
    <w:p>
      <w:pPr>
        <w:ind w:firstLine="562"/>
        <w:jc w:val="center"/>
        <w:rPr>
          <w:b/>
          <w:sz w:val="28"/>
          <w:szCs w:val="28"/>
        </w:rPr>
      </w:pPr>
    </w:p>
    <w:p>
      <w:pPr>
        <w:ind w:firstLine="562"/>
        <w:jc w:val="center"/>
        <w:rPr>
          <w:b/>
          <w:sz w:val="28"/>
          <w:szCs w:val="28"/>
        </w:rPr>
      </w:pPr>
    </w:p>
    <w:p>
      <w:pPr>
        <w:ind w:firstLine="964"/>
        <w:jc w:val="center"/>
        <w:rPr>
          <w:b/>
          <w:sz w:val="48"/>
          <w:szCs w:val="28"/>
        </w:rPr>
      </w:pPr>
      <w:r>
        <w:rPr>
          <w:b/>
          <w:sz w:val="48"/>
          <w:szCs w:val="28"/>
        </w:rPr>
        <w:t>保定市危险废物智能化环境监管平台</w:t>
      </w:r>
    </w:p>
    <w:p>
      <w:pPr>
        <w:ind w:firstLine="964"/>
        <w:jc w:val="center"/>
        <w:rPr>
          <w:b/>
          <w:sz w:val="48"/>
          <w:szCs w:val="28"/>
        </w:rPr>
      </w:pPr>
    </w:p>
    <w:p>
      <w:pPr>
        <w:tabs>
          <w:tab w:val="center" w:pos="4995"/>
          <w:tab w:val="left" w:pos="6452"/>
        </w:tabs>
        <w:ind w:firstLine="964"/>
        <w:jc w:val="left"/>
        <w:rPr>
          <w:b/>
          <w:sz w:val="48"/>
          <w:szCs w:val="28"/>
        </w:rPr>
      </w:pPr>
      <w:r>
        <w:rPr>
          <w:b/>
          <w:sz w:val="48"/>
          <w:szCs w:val="28"/>
        </w:rPr>
        <w:tab/>
      </w:r>
      <w:r>
        <w:rPr>
          <w:b/>
          <w:sz w:val="48"/>
          <w:szCs w:val="28"/>
        </w:rPr>
        <w:t>项目建设</w:t>
      </w:r>
      <w:r>
        <w:rPr>
          <w:b/>
          <w:sz w:val="48"/>
          <w:szCs w:val="28"/>
        </w:rPr>
        <w:tab/>
      </w:r>
    </w:p>
    <w:p>
      <w:pPr>
        <w:ind w:firstLine="560"/>
        <w:rPr>
          <w:sz w:val="28"/>
          <w:szCs w:val="28"/>
        </w:rPr>
      </w:pPr>
    </w:p>
    <w:p>
      <w:pPr>
        <w:ind w:firstLine="560"/>
        <w:rPr>
          <w:sz w:val="28"/>
          <w:szCs w:val="28"/>
        </w:rPr>
      </w:pPr>
    </w:p>
    <w:p>
      <w:pPr>
        <w:ind w:firstLine="560"/>
        <w:jc w:val="right"/>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jc w:val="center"/>
        <w:rPr>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247" w:right="1440" w:bottom="1247" w:left="1440" w:header="851" w:footer="992" w:gutter="0"/>
          <w:pgNumType w:start="1"/>
          <w:cols w:space="720" w:num="1"/>
          <w:titlePg/>
          <w:docGrid w:type="lines" w:linePitch="312" w:charSpace="0"/>
        </w:sectPr>
      </w:pPr>
    </w:p>
    <w:p>
      <w:pPr>
        <w:ind w:firstLine="560"/>
        <w:jc w:val="center"/>
        <w:rPr>
          <w:sz w:val="28"/>
          <w:szCs w:val="28"/>
        </w:rPr>
      </w:pPr>
      <w:r>
        <w:rPr>
          <w:sz w:val="28"/>
          <w:szCs w:val="28"/>
        </w:rPr>
        <w:t>目 录</w:t>
      </w:r>
    </w:p>
    <w:p>
      <w:pPr>
        <w:pStyle w:val="52"/>
        <w:tabs>
          <w:tab w:val="left" w:pos="840"/>
          <w:tab w:val="right" w:leader="dot" w:pos="9016"/>
        </w:tabs>
        <w:ind w:left="560" w:hanging="560"/>
        <w:rPr>
          <w:rFonts w:asciiTheme="minorHAnsi" w:hAnsiTheme="minorHAnsi" w:eastAsiaTheme="minorEastAsia" w:cstheme="minorBidi"/>
          <w:sz w:val="21"/>
          <w:szCs w:val="22"/>
        </w:rPr>
      </w:pPr>
      <w:r>
        <w:rPr>
          <w:rFonts w:eastAsia="宋体"/>
          <w:sz w:val="28"/>
          <w:szCs w:val="28"/>
        </w:rPr>
        <w:fldChar w:fldCharType="begin"/>
      </w:r>
      <w:r>
        <w:rPr>
          <w:rFonts w:eastAsia="宋体"/>
          <w:sz w:val="28"/>
          <w:szCs w:val="28"/>
        </w:rPr>
        <w:instrText xml:space="preserve"> TOC \o "1-3" \h \z \u </w:instrText>
      </w:r>
      <w:r>
        <w:rPr>
          <w:rFonts w:eastAsia="宋体"/>
          <w:sz w:val="28"/>
          <w:szCs w:val="28"/>
        </w:rPr>
        <w:fldChar w:fldCharType="separate"/>
      </w:r>
      <w:r>
        <w:fldChar w:fldCharType="begin"/>
      </w:r>
      <w:r>
        <w:instrText xml:space="preserve"> HYPERLINK \l "_Toc97654014" </w:instrText>
      </w:r>
      <w:r>
        <w:fldChar w:fldCharType="separate"/>
      </w:r>
      <w:r>
        <w:rPr>
          <w:rStyle w:val="89"/>
        </w:rPr>
        <w:t>一、</w:t>
      </w:r>
      <w:r>
        <w:rPr>
          <w:rFonts w:asciiTheme="minorHAnsi" w:hAnsiTheme="minorHAnsi" w:eastAsiaTheme="minorEastAsia" w:cstheme="minorBidi"/>
          <w:sz w:val="21"/>
          <w:szCs w:val="22"/>
        </w:rPr>
        <w:tab/>
      </w:r>
      <w:r>
        <w:rPr>
          <w:rStyle w:val="89"/>
        </w:rPr>
        <w:t>项目简介</w:t>
      </w:r>
      <w:r>
        <w:tab/>
      </w:r>
      <w:r>
        <w:fldChar w:fldCharType="begin"/>
      </w:r>
      <w:r>
        <w:instrText xml:space="preserve"> PAGEREF _Toc97654014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"_Toc97654015" </w:instrText>
      </w:r>
      <w:r>
        <w:fldChar w:fldCharType="separate"/>
      </w:r>
      <w:r>
        <w:rPr>
          <w:rStyle w:val="89"/>
        </w:rPr>
        <w:t>1.1</w:t>
      </w:r>
      <w:r>
        <w:rPr>
          <w:rFonts w:asciiTheme="minorHAnsi" w:hAnsiTheme="minorHAnsi" w:eastAsiaTheme="minorEastAsia" w:cstheme="minorBidi"/>
          <w:sz w:val="21"/>
          <w:szCs w:val="22"/>
        </w:rPr>
        <w:tab/>
      </w:r>
      <w:r>
        <w:rPr>
          <w:rStyle w:val="89"/>
        </w:rPr>
        <w:t>项目名称</w:t>
      </w:r>
      <w:r>
        <w:tab/>
      </w:r>
      <w:r>
        <w:fldChar w:fldCharType="begin"/>
      </w:r>
      <w:r>
        <w:instrText xml:space="preserve"> PAGEREF _Toc97654015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"_Toc97654016" </w:instrText>
      </w:r>
      <w:r>
        <w:fldChar w:fldCharType="separate"/>
      </w:r>
      <w:r>
        <w:rPr>
          <w:rStyle w:val="89"/>
        </w:rPr>
        <w:t>1.2</w:t>
      </w:r>
      <w:r>
        <w:rPr>
          <w:rFonts w:asciiTheme="minorHAnsi" w:hAnsiTheme="minorHAnsi" w:eastAsiaTheme="minorEastAsia" w:cstheme="minorBidi"/>
          <w:sz w:val="21"/>
          <w:szCs w:val="22"/>
        </w:rPr>
        <w:tab/>
      </w:r>
      <w:r>
        <w:rPr>
          <w:rStyle w:val="89"/>
        </w:rPr>
        <w:t>项目承担单位及负责人</w:t>
      </w:r>
      <w:r>
        <w:tab/>
      </w:r>
      <w:r>
        <w:fldChar w:fldCharType="begin"/>
      </w:r>
      <w:r>
        <w:instrText xml:space="preserve"> PAGEREF _Toc97654016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"_Toc97654017" </w:instrText>
      </w:r>
      <w:r>
        <w:fldChar w:fldCharType="separate"/>
      </w:r>
      <w:r>
        <w:rPr>
          <w:rStyle w:val="89"/>
        </w:rPr>
        <w:t>1.3</w:t>
      </w:r>
      <w:r>
        <w:rPr>
          <w:rFonts w:asciiTheme="minorHAnsi" w:hAnsiTheme="minorHAnsi" w:eastAsiaTheme="minorEastAsia" w:cstheme="minorBidi"/>
          <w:sz w:val="21"/>
          <w:szCs w:val="22"/>
        </w:rPr>
        <w:tab/>
      </w:r>
      <w:r>
        <w:rPr>
          <w:rStyle w:val="89"/>
        </w:rPr>
        <w:t>项目实施机构及项目负责人</w:t>
      </w:r>
      <w:r>
        <w:tab/>
      </w:r>
      <w:r>
        <w:fldChar w:fldCharType="begin"/>
      </w:r>
      <w:r>
        <w:instrText xml:space="preserve"> PAGEREF _Toc97654017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"_Toc97654018" </w:instrText>
      </w:r>
      <w:r>
        <w:fldChar w:fldCharType="separate"/>
      </w:r>
      <w:r>
        <w:rPr>
          <w:rStyle w:val="89"/>
        </w:rPr>
        <w:t>1.4</w:t>
      </w:r>
      <w:r>
        <w:rPr>
          <w:rFonts w:asciiTheme="minorHAnsi" w:hAnsiTheme="minorHAnsi" w:eastAsiaTheme="minorEastAsia" w:cstheme="minorBidi"/>
          <w:sz w:val="21"/>
          <w:szCs w:val="22"/>
        </w:rPr>
        <w:tab/>
      </w:r>
      <w:r>
        <w:rPr>
          <w:rStyle w:val="89"/>
        </w:rPr>
        <w:t>建设方案的编制依据</w:t>
      </w:r>
      <w:r>
        <w:tab/>
      </w:r>
      <w:r>
        <w:fldChar w:fldCharType="begin"/>
      </w:r>
      <w:r>
        <w:instrText xml:space="preserve"> PAGEREF _Toc97654018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"_Toc97654019" </w:instrText>
      </w:r>
      <w:r>
        <w:fldChar w:fldCharType="separate"/>
      </w:r>
      <w:r>
        <w:rPr>
          <w:rStyle w:val="89"/>
        </w:rPr>
        <w:t>1.5</w:t>
      </w:r>
      <w:r>
        <w:rPr>
          <w:rFonts w:asciiTheme="minorHAnsi" w:hAnsiTheme="minorHAnsi" w:eastAsiaTheme="minorEastAsia" w:cstheme="minorBidi"/>
          <w:sz w:val="21"/>
          <w:szCs w:val="22"/>
        </w:rPr>
        <w:tab/>
      </w:r>
      <w:r>
        <w:rPr>
          <w:rStyle w:val="89"/>
        </w:rPr>
        <w:t>建设目标、规模、内容、周期</w:t>
      </w:r>
      <w:r>
        <w:tab/>
      </w:r>
      <w:r>
        <w:fldChar w:fldCharType="begin"/>
      </w:r>
      <w:r>
        <w:instrText xml:space="preserve"> PAGEREF _Toc97654019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"_Toc97654020" </w:instrText>
      </w:r>
      <w:r>
        <w:fldChar w:fldCharType="separate"/>
      </w:r>
      <w:r>
        <w:rPr>
          <w:rStyle w:val="89"/>
        </w:rPr>
        <w:t>1.5.1</w:t>
      </w:r>
      <w:r>
        <w:rPr>
          <w:rFonts w:asciiTheme="minorHAnsi" w:hAnsiTheme="minorHAnsi" w:eastAsiaTheme="minorEastAsia" w:cstheme="minorBidi"/>
          <w:sz w:val="21"/>
          <w:szCs w:val="22"/>
        </w:rPr>
        <w:tab/>
      </w:r>
      <w:r>
        <w:rPr>
          <w:rStyle w:val="89"/>
        </w:rPr>
        <w:t>建设目标</w:t>
      </w:r>
      <w:r>
        <w:tab/>
      </w:r>
      <w:r>
        <w:fldChar w:fldCharType="begin"/>
      </w:r>
      <w:r>
        <w:instrText xml:space="preserve"> PAGEREF _Toc97654020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"_Toc97654021" </w:instrText>
      </w:r>
      <w:r>
        <w:fldChar w:fldCharType="separate"/>
      </w:r>
      <w:r>
        <w:rPr>
          <w:rStyle w:val="89"/>
        </w:rPr>
        <w:t>1.5.2</w:t>
      </w:r>
      <w:r>
        <w:rPr>
          <w:rFonts w:asciiTheme="minorHAnsi" w:hAnsiTheme="minorHAnsi" w:eastAsiaTheme="minorEastAsia" w:cstheme="minorBidi"/>
          <w:sz w:val="21"/>
          <w:szCs w:val="22"/>
        </w:rPr>
        <w:tab/>
      </w:r>
      <w:r>
        <w:rPr>
          <w:rStyle w:val="89"/>
        </w:rPr>
        <w:t>建设规模</w:t>
      </w:r>
      <w:r>
        <w:tab/>
      </w:r>
      <w:r>
        <w:fldChar w:fldCharType="begin"/>
      </w:r>
      <w:r>
        <w:instrText xml:space="preserve"> PAGEREF _Toc97654021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"_Toc97654022" </w:instrText>
      </w:r>
      <w:r>
        <w:fldChar w:fldCharType="separate"/>
      </w:r>
      <w:r>
        <w:rPr>
          <w:rStyle w:val="89"/>
        </w:rPr>
        <w:t>1.5.3</w:t>
      </w:r>
      <w:r>
        <w:rPr>
          <w:rFonts w:asciiTheme="minorHAnsi" w:hAnsiTheme="minorHAnsi" w:eastAsiaTheme="minorEastAsia" w:cstheme="minorBidi"/>
          <w:sz w:val="21"/>
          <w:szCs w:val="22"/>
        </w:rPr>
        <w:tab/>
      </w:r>
      <w:r>
        <w:rPr>
          <w:rStyle w:val="89"/>
        </w:rPr>
        <w:t>建设内容</w:t>
      </w:r>
      <w:r>
        <w:tab/>
      </w:r>
      <w:r>
        <w:fldChar w:fldCharType="begin"/>
      </w:r>
      <w:r>
        <w:instrText xml:space="preserve"> PAGEREF _Toc97654022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"_Toc97654023" </w:instrText>
      </w:r>
      <w:r>
        <w:fldChar w:fldCharType="separate"/>
      </w:r>
      <w:r>
        <w:rPr>
          <w:rStyle w:val="89"/>
        </w:rPr>
        <w:t>1.5.4</w:t>
      </w:r>
      <w:r>
        <w:rPr>
          <w:rFonts w:asciiTheme="minorHAnsi" w:hAnsiTheme="minorHAnsi" w:eastAsiaTheme="minorEastAsia" w:cstheme="minorBidi"/>
          <w:sz w:val="21"/>
          <w:szCs w:val="22"/>
        </w:rPr>
        <w:tab/>
      </w:r>
      <w:r>
        <w:rPr>
          <w:rStyle w:val="89"/>
        </w:rPr>
        <w:t>建设周期</w:t>
      </w:r>
      <w:r>
        <w:tab/>
      </w:r>
      <w:r>
        <w:fldChar w:fldCharType="begin"/>
      </w:r>
      <w:r>
        <w:instrText xml:space="preserve"> PAGEREF _Toc97654023 \h </w:instrText>
      </w:r>
      <w:r>
        <w:fldChar w:fldCharType="separate"/>
      </w:r>
      <w:r>
        <w:t>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"_Toc97654024" </w:instrText>
      </w:r>
      <w:r>
        <w:fldChar w:fldCharType="separate"/>
      </w:r>
      <w:r>
        <w:rPr>
          <w:rStyle w:val="89"/>
        </w:rPr>
        <w:t>1.6</w:t>
      </w:r>
      <w:r>
        <w:rPr>
          <w:rFonts w:asciiTheme="minorHAnsi" w:hAnsiTheme="minorHAnsi" w:eastAsiaTheme="minorEastAsia" w:cstheme="minorBidi"/>
          <w:sz w:val="21"/>
          <w:szCs w:val="22"/>
        </w:rPr>
        <w:tab/>
      </w:r>
      <w:r>
        <w:rPr>
          <w:rStyle w:val="89"/>
        </w:rPr>
        <w:t>总投资及来源</w:t>
      </w:r>
      <w:r>
        <w:tab/>
      </w:r>
      <w:r>
        <w:fldChar w:fldCharType="begin"/>
      </w:r>
      <w:r>
        <w:instrText xml:space="preserve"> PAGEREF _Toc97654024 \h </w:instrText>
      </w:r>
      <w:r>
        <w:fldChar w:fldCharType="separate"/>
      </w:r>
      <w:r>
        <w:t>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"_Toc97654025" </w:instrText>
      </w:r>
      <w:r>
        <w:fldChar w:fldCharType="separate"/>
      </w:r>
      <w:r>
        <w:rPr>
          <w:rStyle w:val="89"/>
        </w:rPr>
        <w:t>1.7</w:t>
      </w:r>
      <w:r>
        <w:rPr>
          <w:rFonts w:asciiTheme="minorHAnsi" w:hAnsiTheme="minorHAnsi" w:eastAsiaTheme="minorEastAsia" w:cstheme="minorBidi"/>
          <w:sz w:val="21"/>
          <w:szCs w:val="22"/>
        </w:rPr>
        <w:tab/>
      </w:r>
      <w:r>
        <w:rPr>
          <w:rStyle w:val="89"/>
        </w:rPr>
        <w:t>经济及社会效益</w:t>
      </w:r>
      <w:r>
        <w:tab/>
      </w:r>
      <w:r>
        <w:fldChar w:fldCharType="begin"/>
      </w:r>
      <w:r>
        <w:instrText xml:space="preserve"> PAGEREF _Toc97654025 \h </w:instrText>
      </w:r>
      <w:r>
        <w:fldChar w:fldCharType="separate"/>
      </w:r>
      <w:r>
        <w:t>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"_Toc97654026" </w:instrText>
      </w:r>
      <w:r>
        <w:fldChar w:fldCharType="separate"/>
      </w:r>
      <w:r>
        <w:rPr>
          <w:rStyle w:val="89"/>
        </w:rPr>
        <w:t>1.8</w:t>
      </w:r>
      <w:r>
        <w:rPr>
          <w:rFonts w:asciiTheme="minorHAnsi" w:hAnsiTheme="minorHAnsi" w:eastAsiaTheme="minorEastAsia" w:cstheme="minorBidi"/>
          <w:sz w:val="21"/>
          <w:szCs w:val="22"/>
        </w:rPr>
        <w:tab/>
      </w:r>
      <w:r>
        <w:rPr>
          <w:rStyle w:val="89"/>
        </w:rPr>
        <w:t>结论及建议</w:t>
      </w:r>
      <w:r>
        <w:tab/>
      </w:r>
      <w:r>
        <w:fldChar w:fldCharType="begin"/>
      </w:r>
      <w:r>
        <w:instrText xml:space="preserve"> PAGEREF _Toc97654026 \h </w:instrText>
      </w:r>
      <w:r>
        <w:fldChar w:fldCharType="separate"/>
      </w:r>
      <w:r>
        <w:t>5</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"_Toc97654027" </w:instrText>
      </w:r>
      <w:r>
        <w:fldChar w:fldCharType="separate"/>
      </w:r>
      <w:r>
        <w:rPr>
          <w:rStyle w:val="89"/>
        </w:rPr>
        <w:t>二、</w:t>
      </w:r>
      <w:r>
        <w:rPr>
          <w:rFonts w:asciiTheme="minorHAnsi" w:hAnsiTheme="minorHAnsi" w:eastAsiaTheme="minorEastAsia" w:cstheme="minorBidi"/>
          <w:sz w:val="21"/>
          <w:szCs w:val="22"/>
        </w:rPr>
        <w:tab/>
      </w:r>
      <w:r>
        <w:rPr>
          <w:rStyle w:val="89"/>
        </w:rPr>
        <w:t>项目承担单位概况</w:t>
      </w:r>
      <w:r>
        <w:tab/>
      </w:r>
      <w:r>
        <w:fldChar w:fldCharType="begin"/>
      </w:r>
      <w:r>
        <w:instrText xml:space="preserve"> PAGEREF _Toc97654027 \h </w:instrText>
      </w:r>
      <w:r>
        <w:fldChar w:fldCharType="separate"/>
      </w:r>
      <w:r>
        <w:t>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"_Toc97654028" </w:instrText>
      </w:r>
      <w:r>
        <w:fldChar w:fldCharType="separate"/>
      </w:r>
      <w:r>
        <w:rPr>
          <w:rStyle w:val="89"/>
        </w:rPr>
        <w:t>2.1</w:t>
      </w:r>
      <w:r>
        <w:rPr>
          <w:rFonts w:asciiTheme="minorHAnsi" w:hAnsiTheme="minorHAnsi" w:eastAsiaTheme="minorEastAsia" w:cstheme="minorBidi"/>
          <w:sz w:val="21"/>
          <w:szCs w:val="22"/>
        </w:rPr>
        <w:tab/>
      </w:r>
      <w:r>
        <w:rPr>
          <w:rStyle w:val="89"/>
        </w:rPr>
        <w:t>项目承担单位与职能</w:t>
      </w:r>
      <w:r>
        <w:tab/>
      </w:r>
      <w:r>
        <w:fldChar w:fldCharType="begin"/>
      </w:r>
      <w:r>
        <w:instrText xml:space="preserve"> PAGEREF _Toc97654028 \h </w:instrText>
      </w:r>
      <w:r>
        <w:fldChar w:fldCharType="separate"/>
      </w:r>
      <w:r>
        <w:t>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"_Toc97654029" </w:instrText>
      </w:r>
      <w:r>
        <w:fldChar w:fldCharType="separate"/>
      </w:r>
      <w:r>
        <w:rPr>
          <w:rStyle w:val="89"/>
        </w:rPr>
        <w:t>2.2</w:t>
      </w:r>
      <w:r>
        <w:rPr>
          <w:rFonts w:asciiTheme="minorHAnsi" w:hAnsiTheme="minorHAnsi" w:eastAsiaTheme="minorEastAsia" w:cstheme="minorBidi"/>
          <w:sz w:val="21"/>
          <w:szCs w:val="22"/>
        </w:rPr>
        <w:tab/>
      </w:r>
      <w:r>
        <w:rPr>
          <w:rStyle w:val="89"/>
        </w:rPr>
        <w:t>项目实施机构与职责</w:t>
      </w:r>
      <w:r>
        <w:tab/>
      </w:r>
      <w:r>
        <w:fldChar w:fldCharType="begin"/>
      </w:r>
      <w:r>
        <w:instrText xml:space="preserve"> PAGEREF _Toc97654029 \h </w:instrText>
      </w:r>
      <w:r>
        <w:fldChar w:fldCharType="separate"/>
      </w:r>
      <w:r>
        <w:t>6</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"_Toc97654030" </w:instrText>
      </w:r>
      <w:r>
        <w:fldChar w:fldCharType="separate"/>
      </w:r>
      <w:r>
        <w:rPr>
          <w:rStyle w:val="89"/>
        </w:rPr>
        <w:t>三、</w:t>
      </w:r>
      <w:r>
        <w:rPr>
          <w:rFonts w:asciiTheme="minorHAnsi" w:hAnsiTheme="minorHAnsi" w:eastAsiaTheme="minorEastAsia" w:cstheme="minorBidi"/>
          <w:sz w:val="21"/>
          <w:szCs w:val="22"/>
        </w:rPr>
        <w:tab/>
      </w:r>
      <w:r>
        <w:rPr>
          <w:rStyle w:val="89"/>
        </w:rPr>
        <w:t>项目建设的必要性</w:t>
      </w:r>
      <w:r>
        <w:tab/>
      </w:r>
      <w:r>
        <w:fldChar w:fldCharType="begin"/>
      </w:r>
      <w:r>
        <w:instrText xml:space="preserve"> PAGEREF _Toc97654030 \h </w:instrText>
      </w:r>
      <w:r>
        <w:fldChar w:fldCharType="separate"/>
      </w:r>
      <w:r>
        <w:t>7</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"_Toc97654031" </w:instrText>
      </w:r>
      <w:r>
        <w:fldChar w:fldCharType="separate"/>
      </w:r>
      <w:r>
        <w:rPr>
          <w:rStyle w:val="89"/>
        </w:rPr>
        <w:t>3.1</w:t>
      </w:r>
      <w:r>
        <w:rPr>
          <w:rFonts w:asciiTheme="minorHAnsi" w:hAnsiTheme="minorHAnsi" w:eastAsiaTheme="minorEastAsia" w:cstheme="minorBidi"/>
          <w:sz w:val="21"/>
          <w:szCs w:val="22"/>
        </w:rPr>
        <w:tab/>
      </w:r>
      <w:r>
        <w:rPr>
          <w:rStyle w:val="89"/>
        </w:rPr>
        <w:t>项目提出的背景和依据</w:t>
      </w:r>
      <w:r>
        <w:tab/>
      </w:r>
      <w:r>
        <w:fldChar w:fldCharType="begin"/>
      </w:r>
      <w:r>
        <w:instrText xml:space="preserve"> PAGEREF _Toc97654031 \h </w:instrText>
      </w:r>
      <w:r>
        <w:fldChar w:fldCharType="separate"/>
      </w:r>
      <w:r>
        <w:t>7</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"_Toc97654032" </w:instrText>
      </w:r>
      <w:r>
        <w:fldChar w:fldCharType="separate"/>
      </w:r>
      <w:r>
        <w:rPr>
          <w:rStyle w:val="89"/>
        </w:rPr>
        <w:t>3.2</w:t>
      </w:r>
      <w:r>
        <w:rPr>
          <w:rFonts w:asciiTheme="minorHAnsi" w:hAnsiTheme="minorHAnsi" w:eastAsiaTheme="minorEastAsia" w:cstheme="minorBidi"/>
          <w:sz w:val="21"/>
          <w:szCs w:val="22"/>
        </w:rPr>
        <w:tab/>
      </w:r>
      <w:r>
        <w:rPr>
          <w:rStyle w:val="89"/>
        </w:rPr>
        <w:t>现有信息系统装备和信息化应用状况</w:t>
      </w:r>
      <w:r>
        <w:tab/>
      </w:r>
      <w:r>
        <w:fldChar w:fldCharType="begin"/>
      </w:r>
      <w:r>
        <w:instrText xml:space="preserve"> PAGEREF _Toc97654032 \h </w:instrText>
      </w:r>
      <w:r>
        <w:fldChar w:fldCharType="separate"/>
      </w:r>
      <w:r>
        <w:t>8</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"_Toc97654033" </w:instrText>
      </w:r>
      <w:r>
        <w:fldChar w:fldCharType="separate"/>
      </w:r>
      <w:r>
        <w:rPr>
          <w:rStyle w:val="89"/>
        </w:rPr>
        <w:t>3.3</w:t>
      </w:r>
      <w:r>
        <w:rPr>
          <w:rFonts w:asciiTheme="minorHAnsi" w:hAnsiTheme="minorHAnsi" w:eastAsiaTheme="minorEastAsia" w:cstheme="minorBidi"/>
          <w:sz w:val="21"/>
          <w:szCs w:val="22"/>
        </w:rPr>
        <w:tab/>
      </w:r>
      <w:r>
        <w:rPr>
          <w:rStyle w:val="89"/>
        </w:rPr>
        <w:t>信息系统装备和应用目前存在的主要问题和差距</w:t>
      </w:r>
      <w:r>
        <w:tab/>
      </w:r>
      <w:r>
        <w:fldChar w:fldCharType="begin"/>
      </w:r>
      <w:r>
        <w:instrText xml:space="preserve"> PAGEREF _Toc97654033 \h </w:instrText>
      </w:r>
      <w:r>
        <w:fldChar w:fldCharType="separate"/>
      </w:r>
      <w:r>
        <w:t>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"_Toc97654034" </w:instrText>
      </w:r>
      <w:r>
        <w:fldChar w:fldCharType="separate"/>
      </w:r>
      <w:r>
        <w:rPr>
          <w:rStyle w:val="89"/>
        </w:rPr>
        <w:t>3.3.1</w:t>
      </w:r>
      <w:r>
        <w:rPr>
          <w:rFonts w:asciiTheme="minorHAnsi" w:hAnsiTheme="minorHAnsi" w:eastAsiaTheme="minorEastAsia" w:cstheme="minorBidi"/>
          <w:sz w:val="21"/>
          <w:szCs w:val="22"/>
        </w:rPr>
        <w:tab/>
      </w:r>
      <w:r>
        <w:rPr>
          <w:rStyle w:val="89"/>
        </w:rPr>
        <w:t>企业台账数据申报不及时，数据准确性、真实性存疑</w:t>
      </w:r>
      <w:r>
        <w:tab/>
      </w:r>
      <w:r>
        <w:fldChar w:fldCharType="begin"/>
      </w:r>
      <w:r>
        <w:instrText xml:space="preserve"> PAGEREF _Toc97654034 \h </w:instrText>
      </w:r>
      <w:r>
        <w:fldChar w:fldCharType="separate"/>
      </w:r>
      <w:r>
        <w:t>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"_Toc97654035" </w:instrText>
      </w:r>
      <w:r>
        <w:fldChar w:fldCharType="separate"/>
      </w:r>
      <w:r>
        <w:rPr>
          <w:rStyle w:val="89"/>
        </w:rPr>
        <w:t>3.3.2</w:t>
      </w:r>
      <w:r>
        <w:rPr>
          <w:rFonts w:asciiTheme="minorHAnsi" w:hAnsiTheme="minorHAnsi" w:eastAsiaTheme="minorEastAsia" w:cstheme="minorBidi"/>
          <w:sz w:val="21"/>
          <w:szCs w:val="22"/>
        </w:rPr>
        <w:tab/>
      </w:r>
      <w:r>
        <w:rPr>
          <w:rStyle w:val="89"/>
        </w:rPr>
        <w:t>不满足危废业务管理新需求</w:t>
      </w:r>
      <w:r>
        <w:tab/>
      </w:r>
      <w:r>
        <w:fldChar w:fldCharType="begin"/>
      </w:r>
      <w:r>
        <w:instrText xml:space="preserve"> PAGEREF _Toc97654035 \h </w:instrText>
      </w:r>
      <w:r>
        <w:fldChar w:fldCharType="separate"/>
      </w:r>
      <w:r>
        <w:t>9</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"_Toc97654036" </w:instrText>
      </w:r>
      <w:r>
        <w:fldChar w:fldCharType="separate"/>
      </w:r>
      <w:r>
        <w:rPr>
          <w:rStyle w:val="89"/>
        </w:rPr>
        <w:t>3.3.3</w:t>
      </w:r>
      <w:r>
        <w:rPr>
          <w:rFonts w:asciiTheme="minorHAnsi" w:hAnsiTheme="minorHAnsi" w:eastAsiaTheme="minorEastAsia" w:cstheme="minorBidi"/>
          <w:sz w:val="21"/>
          <w:szCs w:val="22"/>
        </w:rPr>
        <w:tab/>
      </w:r>
      <w:r>
        <w:rPr>
          <w:rStyle w:val="89"/>
        </w:rPr>
        <w:t>未能深入挖掘危废数据价值</w:t>
      </w:r>
      <w:r>
        <w:tab/>
      </w:r>
      <w:r>
        <w:fldChar w:fldCharType="begin"/>
      </w:r>
      <w:r>
        <w:instrText xml:space="preserve"> PAGEREF _Toc97654036 \h </w:instrText>
      </w:r>
      <w:r>
        <w:fldChar w:fldCharType="separate"/>
      </w:r>
      <w:r>
        <w:t>9</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"_Toc97654037" </w:instrText>
      </w:r>
      <w:r>
        <w:fldChar w:fldCharType="separate"/>
      </w:r>
      <w:r>
        <w:rPr>
          <w:rStyle w:val="89"/>
        </w:rPr>
        <w:t>3.3.4</w:t>
      </w:r>
      <w:r>
        <w:rPr>
          <w:rFonts w:asciiTheme="minorHAnsi" w:hAnsiTheme="minorHAnsi" w:eastAsiaTheme="minorEastAsia" w:cstheme="minorBidi"/>
          <w:sz w:val="21"/>
          <w:szCs w:val="22"/>
        </w:rPr>
        <w:tab/>
      </w:r>
      <w:r>
        <w:rPr>
          <w:rStyle w:val="89"/>
        </w:rPr>
        <w:t>无法满足自身个性化管理需求</w:t>
      </w:r>
      <w:r>
        <w:tab/>
      </w:r>
      <w:r>
        <w:fldChar w:fldCharType="begin"/>
      </w:r>
      <w:r>
        <w:instrText xml:space="preserve"> PAGEREF _Toc97654037 \h </w:instrText>
      </w:r>
      <w:r>
        <w:fldChar w:fldCharType="separate"/>
      </w:r>
      <w:r>
        <w:t>9</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"_Toc97654038" </w:instrText>
      </w:r>
      <w:r>
        <w:fldChar w:fldCharType="separate"/>
      </w:r>
      <w:r>
        <w:rPr>
          <w:rStyle w:val="89"/>
        </w:rPr>
        <w:t>3.4</w:t>
      </w:r>
      <w:r>
        <w:rPr>
          <w:rFonts w:asciiTheme="minorHAnsi" w:hAnsiTheme="minorHAnsi" w:eastAsiaTheme="minorEastAsia" w:cstheme="minorBidi"/>
          <w:sz w:val="21"/>
          <w:szCs w:val="22"/>
        </w:rPr>
        <w:tab/>
      </w:r>
      <w:r>
        <w:rPr>
          <w:rStyle w:val="89"/>
        </w:rPr>
        <w:t>项目建设的意义和必要性</w:t>
      </w:r>
      <w:r>
        <w:tab/>
      </w:r>
      <w:r>
        <w:fldChar w:fldCharType="begin"/>
      </w:r>
      <w:r>
        <w:instrText xml:space="preserve"> PAGEREF _Toc97654038 \h </w:instrText>
      </w:r>
      <w:r>
        <w:fldChar w:fldCharType="separate"/>
      </w:r>
      <w:r>
        <w:t>10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"_Toc97654039" </w:instrText>
      </w:r>
      <w:r>
        <w:fldChar w:fldCharType="separate"/>
      </w:r>
      <w:r>
        <w:rPr>
          <w:rStyle w:val="89"/>
        </w:rPr>
        <w:t>3.4.1</w:t>
      </w:r>
      <w:r>
        <w:rPr>
          <w:rFonts w:asciiTheme="minorHAnsi" w:hAnsiTheme="minorHAnsi" w:eastAsiaTheme="minorEastAsia" w:cstheme="minorBidi"/>
          <w:sz w:val="21"/>
          <w:szCs w:val="22"/>
        </w:rPr>
        <w:tab/>
      </w:r>
      <w:r>
        <w:rPr>
          <w:rStyle w:val="89"/>
        </w:rPr>
        <w:t>是建立污染防治联防联控机制，坚决打好污染防治攻坚战的必由之路</w:t>
      </w:r>
      <w:r>
        <w:tab/>
      </w:r>
      <w:r>
        <w:fldChar w:fldCharType="begin"/>
      </w:r>
      <w:r>
        <w:instrText xml:space="preserve"> PAGEREF _Toc97654039 \h </w:instrText>
      </w:r>
      <w:r>
        <w:fldChar w:fldCharType="separate"/>
      </w:r>
      <w:r>
        <w:t>10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"_Toc97654040" </w:instrText>
      </w:r>
      <w:r>
        <w:fldChar w:fldCharType="separate"/>
      </w:r>
      <w:r>
        <w:rPr>
          <w:rStyle w:val="89"/>
        </w:rPr>
        <w:t>3.4.2</w:t>
      </w:r>
      <w:r>
        <w:rPr>
          <w:rFonts w:asciiTheme="minorHAnsi" w:hAnsiTheme="minorHAnsi" w:eastAsiaTheme="minorEastAsia" w:cstheme="minorBidi"/>
          <w:sz w:val="21"/>
          <w:szCs w:val="22"/>
        </w:rPr>
        <w:tab/>
      </w:r>
      <w:r>
        <w:rPr>
          <w:rStyle w:val="89"/>
        </w:rPr>
        <w:t>是全面摸排安全风险隐患，着力打造全链条安全风险管控体系的迫切需求</w:t>
      </w:r>
      <w:r>
        <w:tab/>
      </w:r>
      <w:r>
        <w:fldChar w:fldCharType="begin"/>
      </w:r>
      <w:r>
        <w:instrText xml:space="preserve"> PAGEREF _Toc97654040 \h </w:instrText>
      </w:r>
      <w:r>
        <w:fldChar w:fldCharType="separate"/>
      </w:r>
      <w:r>
        <w:t>10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"_Toc97654041" </w:instrText>
      </w:r>
      <w:r>
        <w:fldChar w:fldCharType="separate"/>
      </w:r>
      <w:r>
        <w:rPr>
          <w:rStyle w:val="89"/>
        </w:rPr>
        <w:t>3.4.3</w:t>
      </w:r>
      <w:r>
        <w:rPr>
          <w:rFonts w:asciiTheme="minorHAnsi" w:hAnsiTheme="minorHAnsi" w:eastAsiaTheme="minorEastAsia" w:cstheme="minorBidi"/>
          <w:sz w:val="21"/>
          <w:szCs w:val="22"/>
        </w:rPr>
        <w:tab/>
      </w:r>
      <w:r>
        <w:rPr>
          <w:rStyle w:val="89"/>
        </w:rPr>
        <w:t>是推动信息资源共享共用，持续推进“互联网+监管”深度发展的有力抓手</w:t>
      </w:r>
      <w:r>
        <w:tab/>
      </w:r>
      <w:r>
        <w:fldChar w:fldCharType="begin"/>
      </w:r>
      <w:r>
        <w:instrText xml:space="preserve"> PAGEREF _Toc97654041 \h </w:instrText>
      </w:r>
      <w:r>
        <w:fldChar w:fldCharType="separate"/>
      </w:r>
      <w:r>
        <w:t>11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"_Toc97654042" </w:instrText>
      </w:r>
      <w:r>
        <w:fldChar w:fldCharType="separate"/>
      </w:r>
      <w:r>
        <w:rPr>
          <w:rStyle w:val="89"/>
        </w:rPr>
        <w:t>3.5</w:t>
      </w:r>
      <w:r>
        <w:rPr>
          <w:rFonts w:asciiTheme="minorHAnsi" w:hAnsiTheme="minorHAnsi" w:eastAsiaTheme="minorEastAsia" w:cstheme="minorBidi"/>
          <w:sz w:val="21"/>
          <w:szCs w:val="22"/>
        </w:rPr>
        <w:tab/>
      </w:r>
      <w:r>
        <w:rPr>
          <w:rStyle w:val="89"/>
        </w:rPr>
        <w:t>项目建设的可行性</w:t>
      </w:r>
      <w:r>
        <w:tab/>
      </w:r>
      <w:r>
        <w:fldChar w:fldCharType="begin"/>
      </w:r>
      <w:r>
        <w:instrText xml:space="preserve"> PAGEREF _Toc97654042 \h </w:instrText>
      </w:r>
      <w:r>
        <w:fldChar w:fldCharType="separate"/>
      </w:r>
      <w:r>
        <w:t>12</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"_Toc97654043" </w:instrText>
      </w:r>
      <w:r>
        <w:fldChar w:fldCharType="separate"/>
      </w:r>
      <w:r>
        <w:rPr>
          <w:rStyle w:val="89"/>
        </w:rPr>
        <w:t>四、</w:t>
      </w:r>
      <w:r>
        <w:rPr>
          <w:rFonts w:asciiTheme="minorHAnsi" w:hAnsiTheme="minorHAnsi" w:eastAsiaTheme="minorEastAsia" w:cstheme="minorBidi"/>
          <w:sz w:val="21"/>
          <w:szCs w:val="22"/>
        </w:rPr>
        <w:tab/>
      </w:r>
      <w:r>
        <w:rPr>
          <w:rStyle w:val="89"/>
        </w:rPr>
        <w:t>需求分析</w:t>
      </w:r>
      <w:r>
        <w:tab/>
      </w:r>
      <w:r>
        <w:fldChar w:fldCharType="begin"/>
      </w:r>
      <w:r>
        <w:instrText xml:space="preserve"> PAGEREF _Toc97654043 \h </w:instrText>
      </w:r>
      <w:r>
        <w:fldChar w:fldCharType="separate"/>
      </w:r>
      <w:r>
        <w:t>14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"_Toc97654044" </w:instrText>
      </w:r>
      <w:r>
        <w:fldChar w:fldCharType="separate"/>
      </w:r>
      <w:r>
        <w:rPr>
          <w:rStyle w:val="89"/>
        </w:rPr>
        <w:t>4.1</w:t>
      </w:r>
      <w:r>
        <w:rPr>
          <w:rFonts w:asciiTheme="minorHAnsi" w:hAnsiTheme="minorHAnsi" w:eastAsiaTheme="minorEastAsia" w:cstheme="minorBidi"/>
          <w:sz w:val="21"/>
          <w:szCs w:val="22"/>
        </w:rPr>
        <w:tab/>
      </w:r>
      <w:r>
        <w:rPr>
          <w:rStyle w:val="89"/>
        </w:rPr>
        <w:t>与政务职能相关的政务目标分析</w:t>
      </w:r>
      <w:r>
        <w:tab/>
      </w:r>
      <w:r>
        <w:fldChar w:fldCharType="begin"/>
      </w:r>
      <w:r>
        <w:instrText xml:space="preserve"> PAGEREF _Toc97654044 \h </w:instrText>
      </w:r>
      <w:r>
        <w:fldChar w:fldCharType="separate"/>
      </w:r>
      <w:r>
        <w:t>14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"_Toc97654045" </w:instrText>
      </w:r>
      <w:r>
        <w:fldChar w:fldCharType="separate"/>
      </w:r>
      <w:r>
        <w:rPr>
          <w:rStyle w:val="89"/>
        </w:rPr>
        <w:t>4.2</w:t>
      </w:r>
      <w:r>
        <w:rPr>
          <w:rFonts w:asciiTheme="minorHAnsi" w:hAnsiTheme="minorHAnsi" w:eastAsiaTheme="minorEastAsia" w:cstheme="minorBidi"/>
          <w:sz w:val="21"/>
          <w:szCs w:val="22"/>
        </w:rPr>
        <w:tab/>
      </w:r>
      <w:r>
        <w:rPr>
          <w:rStyle w:val="89"/>
        </w:rPr>
        <w:t>建设模式分析</w:t>
      </w:r>
      <w:r>
        <w:tab/>
      </w:r>
      <w:r>
        <w:fldChar w:fldCharType="begin"/>
      </w:r>
      <w:r>
        <w:instrText xml:space="preserve"> PAGEREF _Toc97654045 \h </w:instrText>
      </w:r>
      <w:r>
        <w:fldChar w:fldCharType="separate"/>
      </w:r>
      <w:r>
        <w:t>14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"_Toc97654046" </w:instrText>
      </w:r>
      <w:r>
        <w:fldChar w:fldCharType="separate"/>
      </w:r>
      <w:r>
        <w:rPr>
          <w:rStyle w:val="89"/>
        </w:rPr>
        <w:t>4.3</w:t>
      </w:r>
      <w:r>
        <w:rPr>
          <w:rFonts w:asciiTheme="minorHAnsi" w:hAnsiTheme="minorHAnsi" w:eastAsiaTheme="minorEastAsia" w:cstheme="minorBidi"/>
          <w:sz w:val="21"/>
          <w:szCs w:val="22"/>
        </w:rPr>
        <w:tab/>
      </w:r>
      <w:r>
        <w:rPr>
          <w:rStyle w:val="89"/>
        </w:rPr>
        <w:t>业务功能、业务流程和业务量分析</w:t>
      </w:r>
      <w:r>
        <w:tab/>
      </w:r>
      <w:r>
        <w:fldChar w:fldCharType="begin"/>
      </w:r>
      <w:r>
        <w:instrText xml:space="preserve"> PAGEREF _Toc97654046 \h </w:instrText>
      </w:r>
      <w:r>
        <w:fldChar w:fldCharType="separate"/>
      </w:r>
      <w:r>
        <w:t>15</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"_Toc97654047" </w:instrText>
      </w:r>
      <w:r>
        <w:fldChar w:fldCharType="separate"/>
      </w:r>
      <w:r>
        <w:rPr>
          <w:rStyle w:val="89"/>
        </w:rPr>
        <w:t>4.4</w:t>
      </w:r>
      <w:r>
        <w:rPr>
          <w:rFonts w:asciiTheme="minorHAnsi" w:hAnsiTheme="minorHAnsi" w:eastAsiaTheme="minorEastAsia" w:cstheme="minorBidi"/>
          <w:sz w:val="21"/>
          <w:szCs w:val="22"/>
        </w:rPr>
        <w:tab/>
      </w:r>
      <w:r>
        <w:rPr>
          <w:rStyle w:val="89"/>
        </w:rPr>
        <w:t>信息资源需求分析</w:t>
      </w:r>
      <w:r>
        <w:tab/>
      </w:r>
      <w:r>
        <w:fldChar w:fldCharType="begin"/>
      </w:r>
      <w:r>
        <w:instrText xml:space="preserve"> PAGEREF _Toc97654047 \h </w:instrText>
      </w:r>
      <w:r>
        <w:fldChar w:fldCharType="separate"/>
      </w:r>
      <w:r>
        <w:t>15</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"_Toc97654048" </w:instrText>
      </w:r>
      <w:r>
        <w:fldChar w:fldCharType="separate"/>
      </w:r>
      <w:r>
        <w:rPr>
          <w:rStyle w:val="89"/>
        </w:rPr>
        <w:t>4.5</w:t>
      </w:r>
      <w:r>
        <w:rPr>
          <w:rFonts w:asciiTheme="minorHAnsi" w:hAnsiTheme="minorHAnsi" w:eastAsiaTheme="minorEastAsia" w:cstheme="minorBidi"/>
          <w:sz w:val="21"/>
          <w:szCs w:val="22"/>
        </w:rPr>
        <w:tab/>
      </w:r>
      <w:r>
        <w:rPr>
          <w:rStyle w:val="89"/>
        </w:rPr>
        <w:t>信息量估算</w:t>
      </w:r>
      <w:r>
        <w:tab/>
      </w:r>
      <w:r>
        <w:fldChar w:fldCharType="begin"/>
      </w:r>
      <w:r>
        <w:instrText xml:space="preserve"> PAGEREF _Toc97654048 \h </w:instrText>
      </w:r>
      <w:r>
        <w:fldChar w:fldCharType="separate"/>
      </w:r>
      <w:r>
        <w:t>15</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"_Toc97654049" </w:instrText>
      </w:r>
      <w:r>
        <w:fldChar w:fldCharType="separate"/>
      </w:r>
      <w:r>
        <w:rPr>
          <w:rStyle w:val="89"/>
        </w:rPr>
        <w:t>4.6</w:t>
      </w:r>
      <w:r>
        <w:rPr>
          <w:rFonts w:asciiTheme="minorHAnsi" w:hAnsiTheme="minorHAnsi" w:eastAsiaTheme="minorEastAsia" w:cstheme="minorBidi"/>
          <w:sz w:val="21"/>
          <w:szCs w:val="22"/>
        </w:rPr>
        <w:tab/>
      </w:r>
      <w:r>
        <w:rPr>
          <w:rStyle w:val="89"/>
        </w:rPr>
        <w:t>系统功能和性能需求分析</w:t>
      </w:r>
      <w:r>
        <w:tab/>
      </w:r>
      <w:r>
        <w:fldChar w:fldCharType="begin"/>
      </w:r>
      <w:r>
        <w:instrText xml:space="preserve"> PAGEREF _Toc97654049 \h </w:instrText>
      </w:r>
      <w:r>
        <w:fldChar w:fldCharType="separate"/>
      </w:r>
      <w:r>
        <w:t>18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"_Toc97654050" </w:instrText>
      </w:r>
      <w:r>
        <w:fldChar w:fldCharType="separate"/>
      </w:r>
      <w:r>
        <w:rPr>
          <w:rStyle w:val="89"/>
        </w:rPr>
        <w:t>4.6.1</w:t>
      </w:r>
      <w:r>
        <w:rPr>
          <w:rFonts w:asciiTheme="minorHAnsi" w:hAnsiTheme="minorHAnsi" w:eastAsiaTheme="minorEastAsia" w:cstheme="minorBidi"/>
          <w:sz w:val="21"/>
          <w:szCs w:val="22"/>
        </w:rPr>
        <w:tab/>
      </w:r>
      <w:r>
        <w:rPr>
          <w:rStyle w:val="89"/>
        </w:rPr>
        <w:t>系统功能需求</w:t>
      </w:r>
      <w:r>
        <w:tab/>
      </w:r>
      <w:r>
        <w:fldChar w:fldCharType="begin"/>
      </w:r>
      <w:r>
        <w:instrText xml:space="preserve"> PAGEREF _Toc97654050 \h </w:instrText>
      </w:r>
      <w:r>
        <w:fldChar w:fldCharType="separate"/>
      </w:r>
      <w:r>
        <w:t>18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"_Toc97654051" </w:instrText>
      </w:r>
      <w:r>
        <w:fldChar w:fldCharType="separate"/>
      </w:r>
      <w:r>
        <w:rPr>
          <w:rStyle w:val="89"/>
        </w:rPr>
        <w:t>4.6.2</w:t>
      </w:r>
      <w:r>
        <w:rPr>
          <w:rFonts w:asciiTheme="minorHAnsi" w:hAnsiTheme="minorHAnsi" w:eastAsiaTheme="minorEastAsia" w:cstheme="minorBidi"/>
          <w:sz w:val="21"/>
          <w:szCs w:val="22"/>
        </w:rPr>
        <w:tab/>
      </w:r>
      <w:r>
        <w:rPr>
          <w:rStyle w:val="89"/>
        </w:rPr>
        <w:t>系统性能需求</w:t>
      </w:r>
      <w:r>
        <w:tab/>
      </w:r>
      <w:r>
        <w:fldChar w:fldCharType="begin"/>
      </w:r>
      <w:r>
        <w:instrText xml:space="preserve"> PAGEREF _Toc97654051 \h </w:instrText>
      </w:r>
      <w:r>
        <w:fldChar w:fldCharType="separate"/>
      </w:r>
      <w:r>
        <w:t>18</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"_Toc97654052" </w:instrText>
      </w:r>
      <w:r>
        <w:fldChar w:fldCharType="separate"/>
      </w:r>
      <w:r>
        <w:rPr>
          <w:rStyle w:val="89"/>
        </w:rPr>
        <w:t>五、</w:t>
      </w:r>
      <w:r>
        <w:rPr>
          <w:rFonts w:asciiTheme="minorHAnsi" w:hAnsiTheme="minorHAnsi" w:eastAsiaTheme="minorEastAsia" w:cstheme="minorBidi"/>
          <w:sz w:val="21"/>
          <w:szCs w:val="22"/>
        </w:rPr>
        <w:tab/>
      </w:r>
      <w:r>
        <w:rPr>
          <w:rStyle w:val="89"/>
        </w:rPr>
        <w:t>项目建设方案</w:t>
      </w:r>
      <w:r>
        <w:tab/>
      </w:r>
      <w:r>
        <w:fldChar w:fldCharType="begin"/>
      </w:r>
      <w:r>
        <w:instrText xml:space="preserve"> PAGEREF _Toc97654052 \h </w:instrText>
      </w:r>
      <w:r>
        <w:fldChar w:fldCharType="separate"/>
      </w:r>
      <w:r>
        <w:t>20</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"_Toc97654053" </w:instrText>
      </w:r>
      <w:r>
        <w:fldChar w:fldCharType="separate"/>
      </w:r>
      <w:r>
        <w:rPr>
          <w:rStyle w:val="89"/>
        </w:rPr>
        <w:t>5.1</w:t>
      </w:r>
      <w:r>
        <w:rPr>
          <w:rFonts w:asciiTheme="minorHAnsi" w:hAnsiTheme="minorHAnsi" w:eastAsiaTheme="minorEastAsia" w:cstheme="minorBidi"/>
          <w:sz w:val="21"/>
          <w:szCs w:val="22"/>
        </w:rPr>
        <w:tab/>
      </w:r>
      <w:r>
        <w:rPr>
          <w:rStyle w:val="89"/>
        </w:rPr>
        <w:t>建设原则</w:t>
      </w:r>
      <w:r>
        <w:tab/>
      </w:r>
      <w:r>
        <w:fldChar w:fldCharType="begin"/>
      </w:r>
      <w:r>
        <w:instrText xml:space="preserve"> PAGEREF _Toc97654053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"_Toc97654054" </w:instrText>
      </w:r>
      <w:r>
        <w:fldChar w:fldCharType="separate"/>
      </w:r>
      <w:r>
        <w:rPr>
          <w:rStyle w:val="89"/>
        </w:rPr>
        <w:t>5.1.1</w:t>
      </w:r>
      <w:r>
        <w:rPr>
          <w:rFonts w:asciiTheme="minorHAnsi" w:hAnsiTheme="minorHAnsi" w:eastAsiaTheme="minorEastAsia" w:cstheme="minorBidi"/>
          <w:sz w:val="21"/>
          <w:szCs w:val="22"/>
        </w:rPr>
        <w:tab/>
      </w:r>
      <w:r>
        <w:rPr>
          <w:rStyle w:val="89"/>
        </w:rPr>
        <w:t>顶层设计原则</w:t>
      </w:r>
      <w:r>
        <w:tab/>
      </w:r>
      <w:r>
        <w:fldChar w:fldCharType="begin"/>
      </w:r>
      <w:r>
        <w:instrText xml:space="preserve"> PAGEREF _Toc97654054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"_Toc97654055" </w:instrText>
      </w:r>
      <w:r>
        <w:fldChar w:fldCharType="separate"/>
      </w:r>
      <w:r>
        <w:rPr>
          <w:rStyle w:val="89"/>
        </w:rPr>
        <w:t>5.1.2</w:t>
      </w:r>
      <w:r>
        <w:rPr>
          <w:rFonts w:asciiTheme="minorHAnsi" w:hAnsiTheme="minorHAnsi" w:eastAsiaTheme="minorEastAsia" w:cstheme="minorBidi"/>
          <w:sz w:val="21"/>
          <w:szCs w:val="22"/>
        </w:rPr>
        <w:tab/>
      </w:r>
      <w:r>
        <w:rPr>
          <w:rStyle w:val="89"/>
        </w:rPr>
        <w:t>技术先进性原则</w:t>
      </w:r>
      <w:r>
        <w:tab/>
      </w:r>
      <w:r>
        <w:fldChar w:fldCharType="begin"/>
      </w:r>
      <w:r>
        <w:instrText xml:space="preserve"> PAGEREF _Toc97654055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"_Toc97654056" </w:instrText>
      </w:r>
      <w:r>
        <w:fldChar w:fldCharType="separate"/>
      </w:r>
      <w:r>
        <w:rPr>
          <w:rStyle w:val="89"/>
        </w:rPr>
        <w:t>5.1.3</w:t>
      </w:r>
      <w:r>
        <w:rPr>
          <w:rFonts w:asciiTheme="minorHAnsi" w:hAnsiTheme="minorHAnsi" w:eastAsiaTheme="minorEastAsia" w:cstheme="minorBidi"/>
          <w:sz w:val="21"/>
          <w:szCs w:val="22"/>
        </w:rPr>
        <w:tab/>
      </w:r>
      <w:r>
        <w:rPr>
          <w:rStyle w:val="89"/>
        </w:rPr>
        <w:t>可扩展性原则</w:t>
      </w:r>
      <w:r>
        <w:tab/>
      </w:r>
      <w:r>
        <w:fldChar w:fldCharType="begin"/>
      </w:r>
      <w:r>
        <w:instrText xml:space="preserve"> PAGEREF _Toc97654056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"_Toc97654057" </w:instrText>
      </w:r>
      <w:r>
        <w:fldChar w:fldCharType="separate"/>
      </w:r>
      <w:r>
        <w:rPr>
          <w:rStyle w:val="89"/>
        </w:rPr>
        <w:t>5.1.4</w:t>
      </w:r>
      <w:r>
        <w:rPr>
          <w:rFonts w:asciiTheme="minorHAnsi" w:hAnsiTheme="minorHAnsi" w:eastAsiaTheme="minorEastAsia" w:cstheme="minorBidi"/>
          <w:sz w:val="21"/>
          <w:szCs w:val="22"/>
        </w:rPr>
        <w:tab/>
      </w:r>
      <w:r>
        <w:rPr>
          <w:rStyle w:val="89"/>
        </w:rPr>
        <w:t>安全性原则</w:t>
      </w:r>
      <w:r>
        <w:tab/>
      </w:r>
      <w:r>
        <w:fldChar w:fldCharType="begin"/>
      </w:r>
      <w:r>
        <w:instrText xml:space="preserve"> PAGEREF _Toc97654057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"_Toc97654058" </w:instrText>
      </w:r>
      <w:r>
        <w:fldChar w:fldCharType="separate"/>
      </w:r>
      <w:r>
        <w:rPr>
          <w:rStyle w:val="89"/>
        </w:rPr>
        <w:t>5.1.5</w:t>
      </w:r>
      <w:r>
        <w:rPr>
          <w:rFonts w:asciiTheme="minorHAnsi" w:hAnsiTheme="minorHAnsi" w:eastAsiaTheme="minorEastAsia" w:cstheme="minorBidi"/>
          <w:sz w:val="21"/>
          <w:szCs w:val="22"/>
        </w:rPr>
        <w:tab/>
      </w:r>
      <w:r>
        <w:rPr>
          <w:rStyle w:val="89"/>
        </w:rPr>
        <w:t>规范性原则</w:t>
      </w:r>
      <w:r>
        <w:tab/>
      </w:r>
      <w:r>
        <w:fldChar w:fldCharType="begin"/>
      </w:r>
      <w:r>
        <w:instrText xml:space="preserve"> PAGEREF _Toc97654058 \h </w:instrText>
      </w:r>
      <w:r>
        <w:fldChar w:fldCharType="separate"/>
      </w:r>
      <w:r>
        <w:t>21</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"_Toc97654059" </w:instrText>
      </w:r>
      <w:r>
        <w:fldChar w:fldCharType="separate"/>
      </w:r>
      <w:r>
        <w:rPr>
          <w:rStyle w:val="89"/>
        </w:rPr>
        <w:t>5.1.6</w:t>
      </w:r>
      <w:r>
        <w:rPr>
          <w:rFonts w:asciiTheme="minorHAnsi" w:hAnsiTheme="minorHAnsi" w:eastAsiaTheme="minorEastAsia" w:cstheme="minorBidi"/>
          <w:sz w:val="21"/>
          <w:szCs w:val="22"/>
        </w:rPr>
        <w:tab/>
      </w:r>
      <w:r>
        <w:rPr>
          <w:rStyle w:val="89"/>
        </w:rPr>
        <w:t>高可靠性原则</w:t>
      </w:r>
      <w:r>
        <w:tab/>
      </w:r>
      <w:r>
        <w:fldChar w:fldCharType="begin"/>
      </w:r>
      <w:r>
        <w:instrText xml:space="preserve"> PAGEREF _Toc97654059 \h </w:instrText>
      </w:r>
      <w:r>
        <w:fldChar w:fldCharType="separate"/>
      </w:r>
      <w:r>
        <w:t>21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"_Toc97654060" </w:instrText>
      </w:r>
      <w:r>
        <w:fldChar w:fldCharType="separate"/>
      </w:r>
      <w:r>
        <w:rPr>
          <w:rStyle w:val="89"/>
        </w:rPr>
        <w:t>5.2</w:t>
      </w:r>
      <w:r>
        <w:rPr>
          <w:rFonts w:asciiTheme="minorHAnsi" w:hAnsiTheme="minorHAnsi" w:eastAsiaTheme="minorEastAsia" w:cstheme="minorBidi"/>
          <w:sz w:val="21"/>
          <w:szCs w:val="22"/>
        </w:rPr>
        <w:tab/>
      </w:r>
      <w:r>
        <w:rPr>
          <w:rStyle w:val="89"/>
        </w:rPr>
        <w:t>总体目标</w:t>
      </w:r>
      <w:r>
        <w:tab/>
      </w:r>
      <w:r>
        <w:fldChar w:fldCharType="begin"/>
      </w:r>
      <w:r>
        <w:instrText xml:space="preserve"> PAGEREF _Toc97654060 \h </w:instrText>
      </w:r>
      <w:r>
        <w:fldChar w:fldCharType="separate"/>
      </w:r>
      <w:r>
        <w:t>21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"_Toc97654061" </w:instrText>
      </w:r>
      <w:r>
        <w:fldChar w:fldCharType="separate"/>
      </w:r>
      <w:r>
        <w:rPr>
          <w:rStyle w:val="89"/>
        </w:rPr>
        <w:t>5.3</w:t>
      </w:r>
      <w:r>
        <w:rPr>
          <w:rFonts w:asciiTheme="minorHAnsi" w:hAnsiTheme="minorHAnsi" w:eastAsiaTheme="minorEastAsia" w:cstheme="minorBidi"/>
          <w:sz w:val="21"/>
          <w:szCs w:val="22"/>
        </w:rPr>
        <w:tab/>
      </w:r>
      <w:r>
        <w:rPr>
          <w:rStyle w:val="89"/>
        </w:rPr>
        <w:t>建设任务</w:t>
      </w:r>
      <w:r>
        <w:tab/>
      </w:r>
      <w:r>
        <w:fldChar w:fldCharType="begin"/>
      </w:r>
      <w:r>
        <w:instrText xml:space="preserve"> PAGEREF _Toc97654061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"_Toc97654062" </w:instrText>
      </w:r>
      <w:r>
        <w:fldChar w:fldCharType="separate"/>
      </w:r>
      <w:r>
        <w:rPr>
          <w:rStyle w:val="89"/>
        </w:rPr>
        <w:t>5.3.1</w:t>
      </w:r>
      <w:r>
        <w:rPr>
          <w:rFonts w:asciiTheme="minorHAnsi" w:hAnsiTheme="minorHAnsi" w:eastAsiaTheme="minorEastAsia" w:cstheme="minorBidi"/>
          <w:sz w:val="21"/>
          <w:szCs w:val="22"/>
        </w:rPr>
        <w:tab/>
      </w:r>
      <w:r>
        <w:rPr>
          <w:rStyle w:val="89"/>
        </w:rPr>
        <w:t>危险废物数据支撑平台</w:t>
      </w:r>
      <w:r>
        <w:tab/>
      </w:r>
      <w:r>
        <w:fldChar w:fldCharType="begin"/>
      </w:r>
      <w:r>
        <w:instrText xml:space="preserve"> PAGEREF _Toc97654062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"_Toc97654063" </w:instrText>
      </w:r>
      <w:r>
        <w:fldChar w:fldCharType="separate"/>
      </w:r>
      <w:r>
        <w:rPr>
          <w:rStyle w:val="89"/>
        </w:rPr>
        <w:t>5.3.2</w:t>
      </w:r>
      <w:r>
        <w:rPr>
          <w:rFonts w:asciiTheme="minorHAnsi" w:hAnsiTheme="minorHAnsi" w:eastAsiaTheme="minorEastAsia" w:cstheme="minorBidi"/>
          <w:sz w:val="21"/>
          <w:szCs w:val="22"/>
        </w:rPr>
        <w:tab/>
      </w:r>
      <w:r>
        <w:rPr>
          <w:rStyle w:val="89"/>
        </w:rPr>
        <w:t>危险废物全生命周期监管</w:t>
      </w:r>
      <w:r>
        <w:tab/>
      </w:r>
      <w:r>
        <w:fldChar w:fldCharType="begin"/>
      </w:r>
      <w:r>
        <w:instrText xml:space="preserve"> PAGEREF _Toc97654063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"_Toc97654064" </w:instrText>
      </w:r>
      <w:r>
        <w:fldChar w:fldCharType="separate"/>
      </w:r>
      <w:r>
        <w:rPr>
          <w:rStyle w:val="89"/>
        </w:rPr>
        <w:t>5.3.3</w:t>
      </w:r>
      <w:r>
        <w:rPr>
          <w:rFonts w:asciiTheme="minorHAnsi" w:hAnsiTheme="minorHAnsi" w:eastAsiaTheme="minorEastAsia" w:cstheme="minorBidi"/>
          <w:sz w:val="21"/>
          <w:szCs w:val="22"/>
        </w:rPr>
        <w:tab/>
      </w:r>
      <w:r>
        <w:rPr>
          <w:rStyle w:val="89"/>
        </w:rPr>
        <w:t>移动端APP</w:t>
      </w:r>
      <w:r>
        <w:tab/>
      </w:r>
      <w:r>
        <w:fldChar w:fldCharType="begin"/>
      </w:r>
      <w:r>
        <w:instrText xml:space="preserve"> PAGEREF _Toc97654064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"_Toc97654065" </w:instrText>
      </w:r>
      <w:r>
        <w:fldChar w:fldCharType="separate"/>
      </w:r>
      <w:r>
        <w:rPr>
          <w:rStyle w:val="89"/>
        </w:rPr>
        <w:t>5.3.4</w:t>
      </w:r>
      <w:r>
        <w:rPr>
          <w:rFonts w:asciiTheme="minorHAnsi" w:hAnsiTheme="minorHAnsi" w:eastAsiaTheme="minorEastAsia" w:cstheme="minorBidi"/>
          <w:sz w:val="21"/>
          <w:szCs w:val="22"/>
        </w:rPr>
        <w:tab/>
      </w:r>
      <w:r>
        <w:rPr>
          <w:rStyle w:val="89"/>
        </w:rPr>
        <w:t>视频数据采集</w:t>
      </w:r>
      <w:r>
        <w:tab/>
      </w:r>
      <w:r>
        <w:fldChar w:fldCharType="begin"/>
      </w:r>
      <w:r>
        <w:instrText xml:space="preserve"> PAGEREF _Toc97654065 \h </w:instrText>
      </w:r>
      <w:r>
        <w:fldChar w:fldCharType="separate"/>
      </w:r>
      <w:r>
        <w:t>23</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"_Toc97654066" </w:instrText>
      </w:r>
      <w:r>
        <w:fldChar w:fldCharType="separate"/>
      </w:r>
      <w:r>
        <w:rPr>
          <w:rStyle w:val="89"/>
        </w:rPr>
        <w:t>5.4</w:t>
      </w:r>
      <w:r>
        <w:rPr>
          <w:rFonts w:asciiTheme="minorHAnsi" w:hAnsiTheme="minorHAnsi" w:eastAsiaTheme="minorEastAsia" w:cstheme="minorBidi"/>
          <w:sz w:val="21"/>
          <w:szCs w:val="22"/>
        </w:rPr>
        <w:tab/>
      </w:r>
      <w:r>
        <w:rPr>
          <w:rStyle w:val="89"/>
        </w:rPr>
        <w:t>本期项目建设方案</w:t>
      </w:r>
      <w:r>
        <w:tab/>
      </w:r>
      <w:r>
        <w:fldChar w:fldCharType="begin"/>
      </w:r>
      <w:r>
        <w:instrText xml:space="preserve"> PAGEREF _Toc97654066 \h </w:instrText>
      </w:r>
      <w:r>
        <w:fldChar w:fldCharType="separate"/>
      </w:r>
      <w:r>
        <w:t>23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"_Toc97654067" </w:instrText>
      </w:r>
      <w:r>
        <w:fldChar w:fldCharType="separate"/>
      </w:r>
      <w:r>
        <w:rPr>
          <w:rStyle w:val="89"/>
        </w:rPr>
        <w:t>5.4.1</w:t>
      </w:r>
      <w:r>
        <w:rPr>
          <w:rFonts w:asciiTheme="minorHAnsi" w:hAnsiTheme="minorHAnsi" w:eastAsiaTheme="minorEastAsia" w:cstheme="minorBidi"/>
          <w:sz w:val="21"/>
          <w:szCs w:val="22"/>
        </w:rPr>
        <w:tab/>
      </w:r>
      <w:r>
        <w:rPr>
          <w:rStyle w:val="89"/>
        </w:rPr>
        <w:t>总体架构</w:t>
      </w:r>
      <w:r>
        <w:tab/>
      </w:r>
      <w:r>
        <w:fldChar w:fldCharType="begin"/>
      </w:r>
      <w:r>
        <w:instrText xml:space="preserve"> PAGEREF _Toc97654067 \h </w:instrText>
      </w:r>
      <w:r>
        <w:fldChar w:fldCharType="separate"/>
      </w:r>
      <w:r>
        <w:t>23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"_Toc97654068" </w:instrText>
      </w:r>
      <w:r>
        <w:fldChar w:fldCharType="separate"/>
      </w:r>
      <w:r>
        <w:rPr>
          <w:rStyle w:val="89"/>
        </w:rPr>
        <w:t>5.4.2</w:t>
      </w:r>
      <w:r>
        <w:rPr>
          <w:rFonts w:asciiTheme="minorHAnsi" w:hAnsiTheme="minorHAnsi" w:eastAsiaTheme="minorEastAsia" w:cstheme="minorBidi"/>
          <w:sz w:val="21"/>
          <w:szCs w:val="22"/>
        </w:rPr>
        <w:tab/>
      </w:r>
      <w:r>
        <w:rPr>
          <w:rStyle w:val="89"/>
        </w:rPr>
        <w:t>标准规范建设内容</w:t>
      </w:r>
      <w:r>
        <w:tab/>
      </w:r>
      <w:r>
        <w:fldChar w:fldCharType="begin"/>
      </w:r>
      <w:r>
        <w:instrText xml:space="preserve"> PAGEREF _Toc97654068 \h </w:instrText>
      </w:r>
      <w:r>
        <w:fldChar w:fldCharType="separate"/>
      </w:r>
      <w:r>
        <w:t>23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"_Toc97654069" </w:instrText>
      </w:r>
      <w:r>
        <w:fldChar w:fldCharType="separate"/>
      </w:r>
      <w:r>
        <w:rPr>
          <w:rStyle w:val="89"/>
        </w:rPr>
        <w:t>5.4.3</w:t>
      </w:r>
      <w:r>
        <w:rPr>
          <w:rFonts w:asciiTheme="minorHAnsi" w:hAnsiTheme="minorHAnsi" w:eastAsiaTheme="minorEastAsia" w:cstheme="minorBidi"/>
          <w:sz w:val="21"/>
          <w:szCs w:val="22"/>
        </w:rPr>
        <w:tab/>
      </w:r>
      <w:r>
        <w:rPr>
          <w:rStyle w:val="89"/>
        </w:rPr>
        <w:t>信息资源规划和数据系统建设方案</w:t>
      </w:r>
      <w:r>
        <w:tab/>
      </w:r>
      <w:r>
        <w:fldChar w:fldCharType="begin"/>
      </w:r>
      <w:r>
        <w:instrText xml:space="preserve"> PAGEREF _Toc97654069 \h </w:instrText>
      </w:r>
      <w:r>
        <w:fldChar w:fldCharType="separate"/>
      </w:r>
      <w:r>
        <w:t>24</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"_Toc97654070" </w:instrText>
      </w:r>
      <w:r>
        <w:fldChar w:fldCharType="separate"/>
      </w:r>
      <w:r>
        <w:rPr>
          <w:rStyle w:val="89"/>
        </w:rPr>
        <w:t>5.4.4</w:t>
      </w:r>
      <w:r>
        <w:rPr>
          <w:rFonts w:asciiTheme="minorHAnsi" w:hAnsiTheme="minorHAnsi" w:eastAsiaTheme="minorEastAsia" w:cstheme="minorBidi"/>
          <w:sz w:val="21"/>
          <w:szCs w:val="22"/>
        </w:rPr>
        <w:tab/>
      </w:r>
      <w:r>
        <w:rPr>
          <w:rStyle w:val="89"/>
        </w:rPr>
        <w:t>数据交换共享建设方案</w:t>
      </w:r>
      <w:r>
        <w:tab/>
      </w:r>
      <w:r>
        <w:fldChar w:fldCharType="begin"/>
      </w:r>
      <w:r>
        <w:instrText xml:space="preserve"> PAGEREF _Toc97654070 \h </w:instrText>
      </w:r>
      <w:r>
        <w:fldChar w:fldCharType="separate"/>
      </w:r>
      <w:r>
        <w:t>28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"_Toc97654071" </w:instrText>
      </w:r>
      <w:r>
        <w:fldChar w:fldCharType="separate"/>
      </w:r>
      <w:r>
        <w:rPr>
          <w:rStyle w:val="89"/>
        </w:rPr>
        <w:t>5.4.5</w:t>
      </w:r>
      <w:r>
        <w:rPr>
          <w:rFonts w:asciiTheme="minorHAnsi" w:hAnsiTheme="minorHAnsi" w:eastAsiaTheme="minorEastAsia" w:cstheme="minorBidi"/>
          <w:sz w:val="21"/>
          <w:szCs w:val="22"/>
        </w:rPr>
        <w:tab/>
      </w:r>
      <w:r>
        <w:rPr>
          <w:rStyle w:val="89"/>
        </w:rPr>
        <w:t>应用系统建设方案</w:t>
      </w:r>
      <w:r>
        <w:tab/>
      </w:r>
      <w:r>
        <w:fldChar w:fldCharType="begin"/>
      </w:r>
      <w:r>
        <w:instrText xml:space="preserve"> PAGEREF _Toc97654071 \h </w:instrText>
      </w:r>
      <w:r>
        <w:fldChar w:fldCharType="separate"/>
      </w:r>
      <w:r>
        <w:t>32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"_Toc97654072" </w:instrText>
      </w:r>
      <w:r>
        <w:fldChar w:fldCharType="separate"/>
      </w:r>
      <w:r>
        <w:rPr>
          <w:rStyle w:val="89"/>
        </w:rPr>
        <w:t>5.4.6</w:t>
      </w:r>
      <w:r>
        <w:rPr>
          <w:rFonts w:asciiTheme="minorHAnsi" w:hAnsiTheme="minorHAnsi" w:eastAsiaTheme="minorEastAsia" w:cstheme="minorBidi"/>
          <w:sz w:val="21"/>
          <w:szCs w:val="22"/>
        </w:rPr>
        <w:tab/>
      </w:r>
      <w:r>
        <w:rPr>
          <w:rStyle w:val="89"/>
        </w:rPr>
        <w:t>网络系统建设方案</w:t>
      </w:r>
      <w:r>
        <w:tab/>
      </w:r>
      <w:r>
        <w:fldChar w:fldCharType="begin"/>
      </w:r>
      <w:r>
        <w:instrText xml:space="preserve"> PAGEREF _Toc97654072 \h </w:instrText>
      </w:r>
      <w:r>
        <w:fldChar w:fldCharType="separate"/>
      </w:r>
      <w:r>
        <w:t>45</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"_Toc97654073" </w:instrText>
      </w:r>
      <w:r>
        <w:fldChar w:fldCharType="separate"/>
      </w:r>
      <w:r>
        <w:rPr>
          <w:rStyle w:val="89"/>
        </w:rPr>
        <w:t>5.4.7</w:t>
      </w:r>
      <w:r>
        <w:rPr>
          <w:rFonts w:asciiTheme="minorHAnsi" w:hAnsiTheme="minorHAnsi" w:eastAsiaTheme="minorEastAsia" w:cstheme="minorBidi"/>
          <w:sz w:val="21"/>
          <w:szCs w:val="22"/>
        </w:rPr>
        <w:tab/>
      </w:r>
      <w:r>
        <w:rPr>
          <w:rStyle w:val="89"/>
        </w:rPr>
        <w:t>安全系统建设方案</w:t>
      </w:r>
      <w:r>
        <w:tab/>
      </w:r>
      <w:r>
        <w:fldChar w:fldCharType="begin"/>
      </w:r>
      <w:r>
        <w:instrText xml:space="preserve"> PAGEREF _Toc97654073 \h </w:instrText>
      </w:r>
      <w:r>
        <w:fldChar w:fldCharType="separate"/>
      </w:r>
      <w:r>
        <w:t>47</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"_Toc97654074" </w:instrText>
      </w:r>
      <w:r>
        <w:fldChar w:fldCharType="separate"/>
      </w:r>
      <w:r>
        <w:rPr>
          <w:rStyle w:val="89"/>
        </w:rPr>
        <w:t>5.4.8</w:t>
      </w:r>
      <w:r>
        <w:rPr>
          <w:rFonts w:asciiTheme="minorHAnsi" w:hAnsiTheme="minorHAnsi" w:eastAsiaTheme="minorEastAsia" w:cstheme="minorBidi"/>
          <w:sz w:val="21"/>
          <w:szCs w:val="22"/>
        </w:rPr>
        <w:tab/>
      </w:r>
      <w:r>
        <w:rPr>
          <w:rStyle w:val="89"/>
        </w:rPr>
        <w:t>运维及其它系统建设方案</w:t>
      </w:r>
      <w:r>
        <w:tab/>
      </w:r>
      <w:r>
        <w:fldChar w:fldCharType="begin"/>
      </w:r>
      <w:r>
        <w:instrText xml:space="preserve"> PAGEREF _Toc97654074 \h </w:instrText>
      </w:r>
      <w:r>
        <w:fldChar w:fldCharType="separate"/>
      </w:r>
      <w:r>
        <w:t>67</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"_Toc97654075" </w:instrText>
      </w:r>
      <w:r>
        <w:fldChar w:fldCharType="separate"/>
      </w:r>
      <w:r>
        <w:rPr>
          <w:rStyle w:val="89"/>
        </w:rPr>
        <w:t>5.4.9</w:t>
      </w:r>
      <w:r>
        <w:rPr>
          <w:rFonts w:asciiTheme="minorHAnsi" w:hAnsiTheme="minorHAnsi" w:eastAsiaTheme="minorEastAsia" w:cstheme="minorBidi"/>
          <w:sz w:val="21"/>
          <w:szCs w:val="22"/>
        </w:rPr>
        <w:tab/>
      </w:r>
      <w:r>
        <w:rPr>
          <w:rStyle w:val="89"/>
        </w:rPr>
        <w:t>系统软硬件配置及部署方案</w:t>
      </w:r>
      <w:r>
        <w:tab/>
      </w:r>
      <w:r>
        <w:fldChar w:fldCharType="begin"/>
      </w:r>
      <w:r>
        <w:instrText xml:space="preserve"> PAGEREF _Toc97654075 \h </w:instrText>
      </w:r>
      <w:r>
        <w:fldChar w:fldCharType="separate"/>
      </w:r>
      <w:r>
        <w:t>68</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"_Toc97654076" </w:instrText>
      </w:r>
      <w:r>
        <w:fldChar w:fldCharType="separate"/>
      </w:r>
      <w:r>
        <w:rPr>
          <w:rStyle w:val="89"/>
        </w:rPr>
        <w:t>六、</w:t>
      </w:r>
      <w:r>
        <w:rPr>
          <w:rFonts w:asciiTheme="minorHAnsi" w:hAnsiTheme="minorHAnsi" w:eastAsiaTheme="minorEastAsia" w:cstheme="minorBidi"/>
          <w:sz w:val="21"/>
          <w:szCs w:val="22"/>
        </w:rPr>
        <w:tab/>
      </w:r>
      <w:r>
        <w:rPr>
          <w:rStyle w:val="89"/>
        </w:rPr>
        <w:t>节能、环保、消防、职业安全卫生</w:t>
      </w:r>
      <w:r>
        <w:tab/>
      </w:r>
      <w:r>
        <w:fldChar w:fldCharType="begin"/>
      </w:r>
      <w:r>
        <w:instrText xml:space="preserve"> PAGEREF _Toc97654076 \h </w:instrText>
      </w:r>
      <w:r>
        <w:fldChar w:fldCharType="separate"/>
      </w:r>
      <w:r>
        <w:t>70</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"_Toc97654077" </w:instrText>
      </w:r>
      <w:r>
        <w:fldChar w:fldCharType="separate"/>
      </w:r>
      <w:r>
        <w:rPr>
          <w:rStyle w:val="89"/>
        </w:rPr>
        <w:t>七、</w:t>
      </w:r>
      <w:r>
        <w:rPr>
          <w:rFonts w:asciiTheme="minorHAnsi" w:hAnsiTheme="minorHAnsi" w:eastAsiaTheme="minorEastAsia" w:cstheme="minorBidi"/>
          <w:sz w:val="21"/>
          <w:szCs w:val="22"/>
        </w:rPr>
        <w:tab/>
      </w:r>
      <w:r>
        <w:rPr>
          <w:rStyle w:val="89"/>
        </w:rPr>
        <w:t>项目组织机构与人员</w:t>
      </w:r>
      <w:r>
        <w:tab/>
      </w:r>
      <w:r>
        <w:fldChar w:fldCharType="begin"/>
      </w:r>
      <w:r>
        <w:instrText xml:space="preserve"> PAGEREF _Toc97654077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"_Toc97654078" </w:instrText>
      </w:r>
      <w:r>
        <w:fldChar w:fldCharType="separate"/>
      </w:r>
      <w:r>
        <w:rPr>
          <w:rStyle w:val="89"/>
        </w:rPr>
        <w:t>7.1</w:t>
      </w:r>
      <w:r>
        <w:rPr>
          <w:rFonts w:asciiTheme="minorHAnsi" w:hAnsiTheme="minorHAnsi" w:eastAsiaTheme="minorEastAsia" w:cstheme="minorBidi"/>
          <w:sz w:val="21"/>
          <w:szCs w:val="22"/>
        </w:rPr>
        <w:tab/>
      </w:r>
      <w:r>
        <w:rPr>
          <w:rStyle w:val="89"/>
        </w:rPr>
        <w:t>项目领导机构</w:t>
      </w:r>
      <w:r>
        <w:tab/>
      </w:r>
      <w:r>
        <w:fldChar w:fldCharType="begin"/>
      </w:r>
      <w:r>
        <w:instrText xml:space="preserve"> PAGEREF _Toc97654078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"_Toc97654079" </w:instrText>
      </w:r>
      <w:r>
        <w:fldChar w:fldCharType="separate"/>
      </w:r>
      <w:r>
        <w:rPr>
          <w:rStyle w:val="89"/>
        </w:rPr>
        <w:t>7.2</w:t>
      </w:r>
      <w:r>
        <w:rPr>
          <w:rFonts w:asciiTheme="minorHAnsi" w:hAnsiTheme="minorHAnsi" w:eastAsiaTheme="minorEastAsia" w:cstheme="minorBidi"/>
          <w:sz w:val="21"/>
          <w:szCs w:val="22"/>
        </w:rPr>
        <w:tab/>
      </w:r>
      <w:r>
        <w:rPr>
          <w:rStyle w:val="89"/>
        </w:rPr>
        <w:t>项目实施机构</w:t>
      </w:r>
      <w:r>
        <w:tab/>
      </w:r>
      <w:r>
        <w:fldChar w:fldCharType="begin"/>
      </w:r>
      <w:r>
        <w:instrText xml:space="preserve"> PAGEREF _Toc97654079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"_Toc97654080" </w:instrText>
      </w:r>
      <w:r>
        <w:fldChar w:fldCharType="separate"/>
      </w:r>
      <w:r>
        <w:rPr>
          <w:rStyle w:val="89"/>
        </w:rPr>
        <w:t>7.3</w:t>
      </w:r>
      <w:r>
        <w:rPr>
          <w:rFonts w:asciiTheme="minorHAnsi" w:hAnsiTheme="minorHAnsi" w:eastAsiaTheme="minorEastAsia" w:cstheme="minorBidi"/>
          <w:sz w:val="21"/>
          <w:szCs w:val="22"/>
        </w:rPr>
        <w:tab/>
      </w:r>
      <w:r>
        <w:rPr>
          <w:rStyle w:val="89"/>
        </w:rPr>
        <w:t>项目验收机构</w:t>
      </w:r>
      <w:r>
        <w:tab/>
      </w:r>
      <w:r>
        <w:fldChar w:fldCharType="begin"/>
      </w:r>
      <w:r>
        <w:instrText xml:space="preserve"> PAGEREF _Toc97654080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"_Toc97654081" </w:instrText>
      </w:r>
      <w:r>
        <w:fldChar w:fldCharType="separate"/>
      </w:r>
      <w:r>
        <w:rPr>
          <w:rStyle w:val="89"/>
        </w:rPr>
        <w:t>7.4</w:t>
      </w:r>
      <w:r>
        <w:rPr>
          <w:rFonts w:asciiTheme="minorHAnsi" w:hAnsiTheme="minorHAnsi" w:eastAsiaTheme="minorEastAsia" w:cstheme="minorBidi"/>
          <w:sz w:val="21"/>
          <w:szCs w:val="22"/>
        </w:rPr>
        <w:tab/>
      </w:r>
      <w:r>
        <w:rPr>
          <w:rStyle w:val="89"/>
        </w:rPr>
        <w:t>运行维护机构</w:t>
      </w:r>
      <w:r>
        <w:tab/>
      </w:r>
      <w:r>
        <w:fldChar w:fldCharType="begin"/>
      </w:r>
      <w:r>
        <w:instrText xml:space="preserve"> PAGEREF _Toc97654081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"_Toc97654082" </w:instrText>
      </w:r>
      <w:r>
        <w:fldChar w:fldCharType="separate"/>
      </w:r>
      <w:r>
        <w:rPr>
          <w:rStyle w:val="89"/>
        </w:rPr>
        <w:t>7.5</w:t>
      </w:r>
      <w:r>
        <w:rPr>
          <w:rFonts w:asciiTheme="minorHAnsi" w:hAnsiTheme="minorHAnsi" w:eastAsiaTheme="minorEastAsia" w:cstheme="minorBidi"/>
          <w:sz w:val="21"/>
          <w:szCs w:val="22"/>
        </w:rPr>
        <w:tab/>
      </w:r>
      <w:r>
        <w:rPr>
          <w:rStyle w:val="89"/>
        </w:rPr>
        <w:t>技术力量和人员配置</w:t>
      </w:r>
      <w:r>
        <w:tab/>
      </w:r>
      <w:r>
        <w:fldChar w:fldCharType="begin"/>
      </w:r>
      <w:r>
        <w:instrText xml:space="preserve"> PAGEREF _Toc97654082 \h </w:instrText>
      </w:r>
      <w:r>
        <w:fldChar w:fldCharType="separate"/>
      </w:r>
      <w:r>
        <w:t>72</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"_Toc97654083" </w:instrText>
      </w:r>
      <w:r>
        <w:fldChar w:fldCharType="separate"/>
      </w:r>
      <w:r>
        <w:rPr>
          <w:rStyle w:val="89"/>
        </w:rPr>
        <w:t>7.6</w:t>
      </w:r>
      <w:r>
        <w:rPr>
          <w:rFonts w:asciiTheme="minorHAnsi" w:hAnsiTheme="minorHAnsi" w:eastAsiaTheme="minorEastAsia" w:cstheme="minorBidi"/>
          <w:sz w:val="21"/>
          <w:szCs w:val="22"/>
        </w:rPr>
        <w:tab/>
      </w:r>
      <w:r>
        <w:rPr>
          <w:rStyle w:val="89"/>
        </w:rPr>
        <w:t>人员培训</w:t>
      </w:r>
      <w:r>
        <w:tab/>
      </w:r>
      <w:r>
        <w:fldChar w:fldCharType="begin"/>
      </w:r>
      <w:r>
        <w:instrText xml:space="preserve"> PAGEREF _Toc97654083 \h </w:instrText>
      </w:r>
      <w:r>
        <w:fldChar w:fldCharType="separate"/>
      </w:r>
      <w:r>
        <w:t>72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"_Toc97654084" </w:instrText>
      </w:r>
      <w:r>
        <w:fldChar w:fldCharType="separate"/>
      </w:r>
      <w:r>
        <w:rPr>
          <w:rStyle w:val="89"/>
        </w:rPr>
        <w:t>7.6.1</w:t>
      </w:r>
      <w:r>
        <w:rPr>
          <w:rFonts w:asciiTheme="minorHAnsi" w:hAnsiTheme="minorHAnsi" w:eastAsiaTheme="minorEastAsia" w:cstheme="minorBidi"/>
          <w:sz w:val="21"/>
          <w:szCs w:val="22"/>
        </w:rPr>
        <w:tab/>
      </w:r>
      <w:r>
        <w:rPr>
          <w:rStyle w:val="89"/>
        </w:rPr>
        <w:t>项目管理培训</w:t>
      </w:r>
      <w:r>
        <w:tab/>
      </w:r>
      <w:r>
        <w:fldChar w:fldCharType="begin"/>
      </w:r>
      <w:r>
        <w:instrText xml:space="preserve"> PAGEREF _Toc97654084 \h </w:instrText>
      </w:r>
      <w:r>
        <w:fldChar w:fldCharType="separate"/>
      </w:r>
      <w:r>
        <w:t>72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"_Toc97654085" </w:instrText>
      </w:r>
      <w:r>
        <w:fldChar w:fldCharType="separate"/>
      </w:r>
      <w:r>
        <w:rPr>
          <w:rStyle w:val="89"/>
        </w:rPr>
        <w:t>7.6.2</w:t>
      </w:r>
      <w:r>
        <w:rPr>
          <w:rFonts w:asciiTheme="minorHAnsi" w:hAnsiTheme="minorHAnsi" w:eastAsiaTheme="minorEastAsia" w:cstheme="minorBidi"/>
          <w:sz w:val="21"/>
          <w:szCs w:val="22"/>
        </w:rPr>
        <w:tab/>
      </w:r>
      <w:r>
        <w:rPr>
          <w:rStyle w:val="89"/>
        </w:rPr>
        <w:t>系统建设与日常维护培训</w:t>
      </w:r>
      <w:r>
        <w:tab/>
      </w:r>
      <w:r>
        <w:fldChar w:fldCharType="begin"/>
      </w:r>
      <w:r>
        <w:instrText xml:space="preserve"> PAGEREF _Toc97654085 \h </w:instrText>
      </w:r>
      <w:r>
        <w:fldChar w:fldCharType="separate"/>
      </w:r>
      <w:r>
        <w:t>72</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"_Toc97654086" </w:instrText>
      </w:r>
      <w:r>
        <w:fldChar w:fldCharType="separate"/>
      </w:r>
      <w:r>
        <w:rPr>
          <w:rStyle w:val="89"/>
        </w:rPr>
        <w:t>八、</w:t>
      </w:r>
      <w:r>
        <w:rPr>
          <w:rFonts w:asciiTheme="minorHAnsi" w:hAnsiTheme="minorHAnsi" w:eastAsiaTheme="minorEastAsia" w:cstheme="minorBidi"/>
          <w:sz w:val="21"/>
          <w:szCs w:val="22"/>
        </w:rPr>
        <w:tab/>
      </w:r>
      <w:r>
        <w:rPr>
          <w:rStyle w:val="89"/>
        </w:rPr>
        <w:t>项目实施进度</w:t>
      </w:r>
      <w:r>
        <w:tab/>
      </w:r>
      <w:r>
        <w:fldChar w:fldCharType="begin"/>
      </w:r>
      <w:r>
        <w:instrText xml:space="preserve"> PAGEREF _Toc97654086 \h </w:instrText>
      </w:r>
      <w:r>
        <w:fldChar w:fldCharType="separate"/>
      </w:r>
      <w:r>
        <w:t>74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"_Toc97654087" </w:instrText>
      </w:r>
      <w:r>
        <w:fldChar w:fldCharType="separate"/>
      </w:r>
      <w:r>
        <w:rPr>
          <w:rStyle w:val="89"/>
        </w:rPr>
        <w:t>8.1</w:t>
      </w:r>
      <w:r>
        <w:rPr>
          <w:rFonts w:asciiTheme="minorHAnsi" w:hAnsiTheme="minorHAnsi" w:eastAsiaTheme="minorEastAsia" w:cstheme="minorBidi"/>
          <w:sz w:val="21"/>
          <w:szCs w:val="22"/>
        </w:rPr>
        <w:tab/>
      </w:r>
      <w:r>
        <w:rPr>
          <w:rStyle w:val="89"/>
        </w:rPr>
        <w:t>项目建设期</w:t>
      </w:r>
      <w:r>
        <w:tab/>
      </w:r>
      <w:r>
        <w:fldChar w:fldCharType="begin"/>
      </w:r>
      <w:r>
        <w:instrText xml:space="preserve"> PAGEREF _Toc97654087 \h </w:instrText>
      </w:r>
      <w:r>
        <w:fldChar w:fldCharType="separate"/>
      </w:r>
      <w:r>
        <w:t>74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"_Toc97654088" </w:instrText>
      </w:r>
      <w:r>
        <w:fldChar w:fldCharType="separate"/>
      </w:r>
      <w:r>
        <w:rPr>
          <w:rStyle w:val="89"/>
        </w:rPr>
        <w:t>8.2</w:t>
      </w:r>
      <w:r>
        <w:rPr>
          <w:rFonts w:asciiTheme="minorHAnsi" w:hAnsiTheme="minorHAnsi" w:eastAsiaTheme="minorEastAsia" w:cstheme="minorBidi"/>
          <w:sz w:val="21"/>
          <w:szCs w:val="22"/>
        </w:rPr>
        <w:tab/>
      </w:r>
      <w:r>
        <w:rPr>
          <w:rStyle w:val="89"/>
        </w:rPr>
        <w:t>实施安排计划</w:t>
      </w:r>
      <w:r>
        <w:tab/>
      </w:r>
      <w:r>
        <w:fldChar w:fldCharType="begin"/>
      </w:r>
      <w:r>
        <w:instrText xml:space="preserve"> PAGEREF _Toc97654088 \h </w:instrText>
      </w:r>
      <w:r>
        <w:fldChar w:fldCharType="separate"/>
      </w:r>
      <w:r>
        <w:t>74</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"_Toc97654089" </w:instrText>
      </w:r>
      <w:r>
        <w:fldChar w:fldCharType="separate"/>
      </w:r>
      <w:r>
        <w:rPr>
          <w:rStyle w:val="89"/>
        </w:rPr>
        <w:t>九、</w:t>
      </w:r>
      <w:r>
        <w:rPr>
          <w:rFonts w:asciiTheme="minorHAnsi" w:hAnsiTheme="minorHAnsi" w:eastAsiaTheme="minorEastAsia" w:cstheme="minorBidi"/>
          <w:sz w:val="21"/>
          <w:szCs w:val="22"/>
        </w:rPr>
        <w:tab/>
      </w:r>
      <w:r>
        <w:rPr>
          <w:rStyle w:val="89"/>
        </w:rPr>
        <w:t>投资估算和资金来源</w:t>
      </w:r>
      <w:r>
        <w:tab/>
      </w:r>
      <w:r>
        <w:fldChar w:fldCharType="begin"/>
      </w:r>
      <w:r>
        <w:instrText xml:space="preserve"> PAGEREF _Toc97654089 \h </w:instrText>
      </w:r>
      <w:r>
        <w:fldChar w:fldCharType="separate"/>
      </w:r>
      <w:r>
        <w:t>76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"_Toc97654090" </w:instrText>
      </w:r>
      <w:r>
        <w:fldChar w:fldCharType="separate"/>
      </w:r>
      <w:r>
        <w:rPr>
          <w:rStyle w:val="89"/>
        </w:rPr>
        <w:t>9.1</w:t>
      </w:r>
      <w:r>
        <w:rPr>
          <w:rFonts w:asciiTheme="minorHAnsi" w:hAnsiTheme="minorHAnsi" w:eastAsiaTheme="minorEastAsia" w:cstheme="minorBidi"/>
          <w:sz w:val="21"/>
          <w:szCs w:val="22"/>
        </w:rPr>
        <w:tab/>
      </w:r>
      <w:r>
        <w:rPr>
          <w:rStyle w:val="89"/>
        </w:rPr>
        <w:t>投资估算的有关说明</w:t>
      </w:r>
      <w:r>
        <w:tab/>
      </w:r>
      <w:r>
        <w:fldChar w:fldCharType="begin"/>
      </w:r>
      <w:r>
        <w:instrText xml:space="preserve"> PAGEREF _Toc97654090 \h </w:instrText>
      </w:r>
      <w:r>
        <w:fldChar w:fldCharType="separate"/>
      </w:r>
      <w:r>
        <w:t>76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"_Toc97654091" </w:instrText>
      </w:r>
      <w:r>
        <w:fldChar w:fldCharType="separate"/>
      </w:r>
      <w:r>
        <w:rPr>
          <w:rStyle w:val="89"/>
        </w:rPr>
        <w:t>9.2</w:t>
      </w:r>
      <w:r>
        <w:rPr>
          <w:rFonts w:asciiTheme="minorHAnsi" w:hAnsiTheme="minorHAnsi" w:eastAsiaTheme="minorEastAsia" w:cstheme="minorBidi"/>
          <w:sz w:val="21"/>
          <w:szCs w:val="22"/>
        </w:rPr>
        <w:tab/>
      </w:r>
      <w:r>
        <w:rPr>
          <w:rStyle w:val="89"/>
        </w:rPr>
        <w:t>总投资估算</w:t>
      </w:r>
      <w:r>
        <w:tab/>
      </w:r>
      <w:r>
        <w:fldChar w:fldCharType="begin"/>
      </w:r>
      <w:r>
        <w:instrText xml:space="preserve"> PAGEREF _Toc97654091 \h </w:instrText>
      </w:r>
      <w:r>
        <w:fldChar w:fldCharType="separate"/>
      </w:r>
      <w:r>
        <w:t>76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"_Toc97654092" </w:instrText>
      </w:r>
      <w:r>
        <w:fldChar w:fldCharType="separate"/>
      </w:r>
      <w:r>
        <w:rPr>
          <w:rStyle w:val="89"/>
        </w:rPr>
        <w:t>9.3</w:t>
      </w:r>
      <w:r>
        <w:rPr>
          <w:rFonts w:asciiTheme="minorHAnsi" w:hAnsiTheme="minorHAnsi" w:eastAsiaTheme="minorEastAsia" w:cstheme="minorBidi"/>
          <w:sz w:val="21"/>
          <w:szCs w:val="22"/>
        </w:rPr>
        <w:tab/>
      </w:r>
      <w:r>
        <w:rPr>
          <w:rStyle w:val="89"/>
        </w:rPr>
        <w:t>资金来源与落实</w:t>
      </w:r>
      <w:r>
        <w:tab/>
      </w:r>
      <w:r>
        <w:fldChar w:fldCharType="begin"/>
      </w:r>
      <w:r>
        <w:instrText xml:space="preserve"> PAGEREF _Toc97654092 \h </w:instrText>
      </w:r>
      <w:r>
        <w:fldChar w:fldCharType="separate"/>
      </w:r>
      <w:r>
        <w:t>76</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"_Toc97654093" </w:instrText>
      </w:r>
      <w:r>
        <w:fldChar w:fldCharType="separate"/>
      </w:r>
      <w:r>
        <w:rPr>
          <w:rStyle w:val="89"/>
        </w:rPr>
        <w:t>十、</w:t>
      </w:r>
      <w:r>
        <w:rPr>
          <w:rFonts w:asciiTheme="minorHAnsi" w:hAnsiTheme="minorHAnsi" w:eastAsiaTheme="minorEastAsia" w:cstheme="minorBidi"/>
          <w:sz w:val="21"/>
          <w:szCs w:val="22"/>
        </w:rPr>
        <w:tab/>
      </w:r>
      <w:r>
        <w:rPr>
          <w:rStyle w:val="89"/>
        </w:rPr>
        <w:t>效益与风险分析</w:t>
      </w:r>
      <w:r>
        <w:tab/>
      </w:r>
      <w:r>
        <w:fldChar w:fldCharType="begin"/>
      </w:r>
      <w:r>
        <w:instrText xml:space="preserve"> PAGEREF _Toc97654093 \h </w:instrText>
      </w:r>
      <w:r>
        <w:fldChar w:fldCharType="separate"/>
      </w:r>
      <w:r>
        <w:t>77</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"_Toc97654094" </w:instrText>
      </w:r>
      <w:r>
        <w:fldChar w:fldCharType="separate"/>
      </w:r>
      <w:r>
        <w:rPr>
          <w:rStyle w:val="89"/>
        </w:rPr>
        <w:t>10.1</w:t>
      </w:r>
      <w:r>
        <w:rPr>
          <w:rFonts w:asciiTheme="minorHAnsi" w:hAnsiTheme="minorHAnsi" w:eastAsiaTheme="minorEastAsia" w:cstheme="minorBidi"/>
          <w:sz w:val="21"/>
          <w:szCs w:val="22"/>
        </w:rPr>
        <w:tab/>
      </w:r>
      <w:r>
        <w:rPr>
          <w:rStyle w:val="89"/>
        </w:rPr>
        <w:t>经济效益分析</w:t>
      </w:r>
      <w:r>
        <w:tab/>
      </w:r>
      <w:r>
        <w:fldChar w:fldCharType="begin"/>
      </w:r>
      <w:r>
        <w:instrText xml:space="preserve"> PAGEREF _Toc97654094 \h </w:instrText>
      </w:r>
      <w:r>
        <w:fldChar w:fldCharType="separate"/>
      </w:r>
      <w:r>
        <w:t>77</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"_Toc97654095" </w:instrText>
      </w:r>
      <w:r>
        <w:fldChar w:fldCharType="separate"/>
      </w:r>
      <w:r>
        <w:rPr>
          <w:rStyle w:val="89"/>
        </w:rPr>
        <w:t>10.2</w:t>
      </w:r>
      <w:r>
        <w:rPr>
          <w:rFonts w:asciiTheme="minorHAnsi" w:hAnsiTheme="minorHAnsi" w:eastAsiaTheme="minorEastAsia" w:cstheme="minorBidi"/>
          <w:sz w:val="21"/>
          <w:szCs w:val="22"/>
        </w:rPr>
        <w:tab/>
      </w:r>
      <w:r>
        <w:rPr>
          <w:rStyle w:val="89"/>
        </w:rPr>
        <w:t>社会效益分析</w:t>
      </w:r>
      <w:r>
        <w:tab/>
      </w:r>
      <w:r>
        <w:fldChar w:fldCharType="begin"/>
      </w:r>
      <w:r>
        <w:instrText xml:space="preserve"> PAGEREF _Toc97654095 \h </w:instrText>
      </w:r>
      <w:r>
        <w:fldChar w:fldCharType="separate"/>
      </w:r>
      <w:r>
        <w:t>77</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"_Toc97654096" </w:instrText>
      </w:r>
      <w:r>
        <w:fldChar w:fldCharType="separate"/>
      </w:r>
      <w:r>
        <w:rPr>
          <w:rStyle w:val="89"/>
        </w:rPr>
        <w:t>10.3</w:t>
      </w:r>
      <w:r>
        <w:rPr>
          <w:rFonts w:asciiTheme="minorHAnsi" w:hAnsiTheme="minorHAnsi" w:eastAsiaTheme="minorEastAsia" w:cstheme="minorBidi"/>
          <w:sz w:val="21"/>
          <w:szCs w:val="22"/>
        </w:rPr>
        <w:tab/>
      </w:r>
      <w:r>
        <w:rPr>
          <w:rStyle w:val="89"/>
        </w:rPr>
        <w:t>项目风险与风险对策</w:t>
      </w:r>
      <w:r>
        <w:tab/>
      </w:r>
      <w:r>
        <w:fldChar w:fldCharType="begin"/>
      </w:r>
      <w:r>
        <w:instrText xml:space="preserve"> PAGEREF _Toc97654096 \h </w:instrText>
      </w:r>
      <w:r>
        <w:fldChar w:fldCharType="separate"/>
      </w:r>
      <w:r>
        <w:t>78</w:t>
      </w:r>
      <w:r>
        <w:fldChar w:fldCharType="end"/>
      </w:r>
      <w:r>
        <w:fldChar w:fldCharType="end"/>
      </w:r>
    </w:p>
    <w:p>
      <w:pPr>
        <w:pStyle w:val="38"/>
        <w:tabs>
          <w:tab w:val="left" w:pos="147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"_Toc97654097" </w:instrText>
      </w:r>
      <w:r>
        <w:fldChar w:fldCharType="separate"/>
      </w:r>
      <w:r>
        <w:rPr>
          <w:rStyle w:val="89"/>
        </w:rPr>
        <w:t>10.3.1</w:t>
      </w:r>
      <w:r>
        <w:rPr>
          <w:rFonts w:asciiTheme="minorHAnsi" w:hAnsiTheme="minorHAnsi" w:eastAsiaTheme="minorEastAsia" w:cstheme="minorBidi"/>
          <w:sz w:val="21"/>
          <w:szCs w:val="22"/>
        </w:rPr>
        <w:tab/>
      </w:r>
      <w:r>
        <w:rPr>
          <w:rStyle w:val="89"/>
        </w:rPr>
        <w:t>项目风险</w:t>
      </w:r>
      <w:r>
        <w:tab/>
      </w:r>
      <w:r>
        <w:fldChar w:fldCharType="begin"/>
      </w:r>
      <w:r>
        <w:instrText xml:space="preserve"> PAGEREF _Toc97654097 \h </w:instrText>
      </w:r>
      <w:r>
        <w:fldChar w:fldCharType="separate"/>
      </w:r>
      <w:r>
        <w:t>78</w:t>
      </w:r>
      <w:r>
        <w:fldChar w:fldCharType="end"/>
      </w:r>
      <w:r>
        <w:fldChar w:fldCharType="end"/>
      </w:r>
    </w:p>
    <w:p>
      <w:pPr>
        <w:pStyle w:val="38"/>
        <w:tabs>
          <w:tab w:val="left" w:pos="147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"_Toc97654098" </w:instrText>
      </w:r>
      <w:r>
        <w:fldChar w:fldCharType="separate"/>
      </w:r>
      <w:r>
        <w:rPr>
          <w:rStyle w:val="89"/>
        </w:rPr>
        <w:t>10.3.2</w:t>
      </w:r>
      <w:r>
        <w:rPr>
          <w:rFonts w:asciiTheme="minorHAnsi" w:hAnsiTheme="minorHAnsi" w:eastAsiaTheme="minorEastAsia" w:cstheme="minorBidi"/>
          <w:sz w:val="21"/>
          <w:szCs w:val="22"/>
        </w:rPr>
        <w:tab/>
      </w:r>
      <w:r>
        <w:rPr>
          <w:rStyle w:val="89"/>
        </w:rPr>
        <w:t>风险对策</w:t>
      </w:r>
      <w:r>
        <w:tab/>
      </w:r>
      <w:r>
        <w:fldChar w:fldCharType="begin"/>
      </w:r>
      <w:r>
        <w:instrText xml:space="preserve"> PAGEREF _Toc97654098 \h </w:instrText>
      </w:r>
      <w:r>
        <w:fldChar w:fldCharType="separate"/>
      </w:r>
      <w:r>
        <w:t>80</w:t>
      </w:r>
      <w:r>
        <w:fldChar w:fldCharType="end"/>
      </w:r>
      <w:r>
        <w:fldChar w:fldCharType="end"/>
      </w:r>
    </w:p>
    <w:p>
      <w:pPr>
        <w:pStyle w:val="52"/>
        <w:tabs>
          <w:tab w:val="left" w:pos="105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"_Toc97654099" </w:instrText>
      </w:r>
      <w:r>
        <w:fldChar w:fldCharType="separate"/>
      </w:r>
      <w:r>
        <w:rPr>
          <w:rStyle w:val="89"/>
        </w:rPr>
        <w:t>十一、</w:t>
      </w:r>
      <w:r>
        <w:rPr>
          <w:rFonts w:asciiTheme="minorHAnsi" w:hAnsiTheme="minorHAnsi" w:eastAsiaTheme="minorEastAsia" w:cstheme="minorBidi"/>
          <w:sz w:val="21"/>
          <w:szCs w:val="22"/>
        </w:rPr>
        <w:tab/>
      </w:r>
      <w:r>
        <w:rPr>
          <w:rStyle w:val="89"/>
        </w:rPr>
        <w:t>设备清单</w:t>
      </w:r>
      <w:r>
        <w:tab/>
      </w:r>
      <w:r>
        <w:fldChar w:fldCharType="begin"/>
      </w:r>
      <w:r>
        <w:instrText xml:space="preserve"> PAGEREF _Toc97654099 \h </w:instrText>
      </w:r>
      <w:r>
        <w:fldChar w:fldCharType="separate"/>
      </w:r>
      <w:r>
        <w:t>81</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"_Toc97654100" </w:instrText>
      </w:r>
      <w:r>
        <w:fldChar w:fldCharType="separate"/>
      </w:r>
      <w:r>
        <w:rPr>
          <w:rStyle w:val="89"/>
        </w:rPr>
        <w:t>11.1</w:t>
      </w:r>
      <w:r>
        <w:rPr>
          <w:rFonts w:asciiTheme="minorHAnsi" w:hAnsiTheme="minorHAnsi" w:eastAsiaTheme="minorEastAsia" w:cstheme="minorBidi"/>
          <w:sz w:val="21"/>
          <w:szCs w:val="22"/>
        </w:rPr>
        <w:tab/>
      </w:r>
      <w:r>
        <w:rPr>
          <w:rStyle w:val="89"/>
        </w:rPr>
        <w:t>软件设备清单</w:t>
      </w:r>
      <w:r>
        <w:tab/>
      </w:r>
      <w:r>
        <w:fldChar w:fldCharType="begin"/>
      </w:r>
      <w:r>
        <w:instrText xml:space="preserve"> PAGEREF _Toc97654100 \h </w:instrText>
      </w:r>
      <w:r>
        <w:fldChar w:fldCharType="separate"/>
      </w:r>
      <w:r>
        <w:t>81</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"_Toc97654101" </w:instrText>
      </w:r>
      <w:r>
        <w:fldChar w:fldCharType="separate"/>
      </w:r>
      <w:r>
        <w:rPr>
          <w:rStyle w:val="89"/>
        </w:rPr>
        <w:t>11.2</w:t>
      </w:r>
      <w:r>
        <w:rPr>
          <w:rFonts w:asciiTheme="minorHAnsi" w:hAnsiTheme="minorHAnsi" w:eastAsiaTheme="minorEastAsia" w:cstheme="minorBidi"/>
          <w:sz w:val="21"/>
          <w:szCs w:val="22"/>
        </w:rPr>
        <w:tab/>
      </w:r>
      <w:r>
        <w:rPr>
          <w:rStyle w:val="89"/>
        </w:rPr>
        <w:t>投资估算清单</w:t>
      </w:r>
      <w:r>
        <w:tab/>
      </w:r>
      <w:r>
        <w:fldChar w:fldCharType="begin"/>
      </w:r>
      <w:r>
        <w:instrText xml:space="preserve"> PAGEREF _Toc97654101 \h </w:instrText>
      </w:r>
      <w:r>
        <w:fldChar w:fldCharType="separate"/>
      </w:r>
      <w:r>
        <w:t>84</w:t>
      </w:r>
      <w:r>
        <w:fldChar w:fldCharType="end"/>
      </w:r>
      <w:r>
        <w:fldChar w:fldCharType="end"/>
      </w:r>
    </w:p>
    <w:p>
      <w:pPr>
        <w:ind w:firstLine="560"/>
        <w:rPr>
          <w:sz w:val="28"/>
          <w:szCs w:val="28"/>
        </w:rPr>
      </w:pPr>
      <w:r>
        <w:rPr>
          <w:rFonts w:eastAsia="宋体"/>
          <w:sz w:val="28"/>
          <w:szCs w:val="28"/>
        </w:rPr>
        <w:fldChar w:fldCharType="end"/>
      </w:r>
    </w:p>
    <w:p>
      <w:pPr>
        <w:ind w:firstLine="560"/>
        <w:rPr>
          <w:sz w:val="28"/>
          <w:szCs w:val="28"/>
        </w:rPr>
        <w:sectPr>
          <w:footerReference r:id="rId12" w:type="first"/>
          <w:footerReference r:id="rId11" w:type="default"/>
          <w:pgSz w:w="11906" w:h="16838"/>
          <w:pgMar w:top="1247" w:right="1440" w:bottom="1247" w:left="1440" w:header="851" w:footer="992" w:gutter="0"/>
          <w:pgNumType w:start="1"/>
          <w:cols w:space="720" w:num="1"/>
          <w:docGrid w:type="lines" w:linePitch="312" w:charSpace="0"/>
        </w:sectPr>
      </w:pPr>
    </w:p>
    <w:p>
      <w:pPr>
        <w:pStyle w:val="2"/>
        <w:ind w:firstLine="643"/>
        <w:rPr>
          <w:sz w:val="28"/>
          <w:szCs w:val="28"/>
        </w:rPr>
      </w:pPr>
      <w:bookmarkStart w:id="0" w:name="_Toc97654014"/>
      <w:r>
        <w:rPr>
          <w:sz w:val="28"/>
          <w:szCs w:val="28"/>
        </w:rPr>
        <w:t>项目简介</w:t>
      </w:r>
      <w:bookmarkEnd w:id="0"/>
    </w:p>
    <w:p>
      <w:pPr>
        <w:pStyle w:val="3"/>
      </w:pPr>
      <w:bookmarkStart w:id="1" w:name="_Toc97654015"/>
      <w:r>
        <w:t>项目名称</w:t>
      </w:r>
      <w:bookmarkEnd w:id="1"/>
    </w:p>
    <w:p>
      <w:pPr>
        <w:spacing w:line="560" w:lineRule="exact"/>
        <w:ind w:firstLine="560"/>
        <w:rPr>
          <w:rFonts w:eastAsia="仿宋"/>
          <w:sz w:val="28"/>
          <w:szCs w:val="28"/>
        </w:rPr>
      </w:pPr>
      <w:r>
        <w:rPr>
          <w:sz w:val="28"/>
          <w:szCs w:val="28"/>
        </w:rPr>
        <w:t>保定市危险废物智能化环境监管平台</w:t>
      </w:r>
    </w:p>
    <w:p>
      <w:pPr>
        <w:pStyle w:val="3"/>
      </w:pPr>
      <w:bookmarkStart w:id="2" w:name="_Toc97654016"/>
      <w:r>
        <w:t>项目承担单位及负责人</w:t>
      </w:r>
      <w:bookmarkEnd w:id="2"/>
    </w:p>
    <w:p>
      <w:pPr>
        <w:spacing w:line="560" w:lineRule="exact"/>
        <w:ind w:firstLine="560"/>
        <w:rPr>
          <w:sz w:val="28"/>
          <w:szCs w:val="28"/>
        </w:rPr>
      </w:pPr>
      <w:r>
        <w:rPr>
          <w:sz w:val="28"/>
          <w:szCs w:val="28"/>
        </w:rPr>
        <w:t>项目承担单位：保定市生态环境局</w:t>
      </w:r>
    </w:p>
    <w:p>
      <w:pPr>
        <w:spacing w:line="560" w:lineRule="exact"/>
        <w:ind w:firstLine="560"/>
        <w:rPr>
          <w:rFonts w:eastAsia="仿宋"/>
          <w:sz w:val="28"/>
          <w:szCs w:val="28"/>
        </w:rPr>
      </w:pPr>
      <w:r>
        <w:rPr>
          <w:sz w:val="28"/>
          <w:szCs w:val="28"/>
        </w:rPr>
        <w:t>项目承担单位负责人：肖宝元（保定市生态环境局党组书记、局长）</w:t>
      </w:r>
    </w:p>
    <w:p>
      <w:pPr>
        <w:spacing w:line="560" w:lineRule="exact"/>
        <w:ind w:firstLine="560"/>
        <w:rPr>
          <w:rFonts w:eastAsia="仿宋"/>
          <w:sz w:val="28"/>
          <w:szCs w:val="28"/>
        </w:rPr>
      </w:pPr>
      <w:r>
        <w:rPr>
          <w:sz w:val="28"/>
          <w:szCs w:val="28"/>
        </w:rPr>
        <w:t>本项目责任人：肖宝元（保定市生态环境局党组书记、局长）</w:t>
      </w:r>
    </w:p>
    <w:p>
      <w:pPr>
        <w:pStyle w:val="3"/>
      </w:pPr>
      <w:bookmarkStart w:id="3" w:name="_Toc97654017"/>
      <w:r>
        <w:t>项目实施机构及项目负责人</w:t>
      </w:r>
      <w:bookmarkEnd w:id="3"/>
    </w:p>
    <w:p>
      <w:pPr>
        <w:spacing w:line="560" w:lineRule="exact"/>
        <w:ind w:firstLine="560"/>
        <w:rPr>
          <w:sz w:val="28"/>
          <w:szCs w:val="28"/>
        </w:rPr>
      </w:pPr>
      <w:r>
        <w:rPr>
          <w:sz w:val="28"/>
          <w:szCs w:val="28"/>
        </w:rPr>
        <w:t>项目实施机构:保定市生态环境局固体废物与化学品处</w:t>
      </w:r>
    </w:p>
    <w:p>
      <w:pPr>
        <w:spacing w:line="560" w:lineRule="exact"/>
        <w:ind w:firstLine="560"/>
        <w:rPr>
          <w:sz w:val="28"/>
          <w:szCs w:val="28"/>
        </w:rPr>
      </w:pPr>
      <w:r>
        <w:rPr>
          <w:sz w:val="28"/>
          <w:szCs w:val="28"/>
        </w:rPr>
        <w:t>项目实施机构负责人：董三忠(固体废物与化学品处处长)</w:t>
      </w:r>
    </w:p>
    <w:p>
      <w:pPr>
        <w:spacing w:line="560" w:lineRule="exact"/>
        <w:ind w:firstLine="560"/>
        <w:rPr>
          <w:sz w:val="28"/>
          <w:szCs w:val="28"/>
        </w:rPr>
      </w:pPr>
      <w:r>
        <w:rPr>
          <w:sz w:val="28"/>
          <w:szCs w:val="28"/>
        </w:rPr>
        <w:t>本项目责任人：董三忠(固体废物与化学品处处长)</w:t>
      </w:r>
    </w:p>
    <w:p>
      <w:pPr>
        <w:pStyle w:val="3"/>
      </w:pPr>
      <w:bookmarkStart w:id="4" w:name="_Toc97654018"/>
      <w:r>
        <w:t>建设方案的编制依据</w:t>
      </w:r>
      <w:bookmarkEnd w:id="4"/>
    </w:p>
    <w:p>
      <w:pPr>
        <w:spacing w:line="560" w:lineRule="exact"/>
        <w:ind w:firstLine="560"/>
        <w:rPr>
          <w:sz w:val="28"/>
          <w:szCs w:val="28"/>
        </w:rPr>
      </w:pPr>
      <w:r>
        <w:rPr>
          <w:sz w:val="28"/>
          <w:szCs w:val="28"/>
        </w:rPr>
        <w:t>本项目建设方案编制的主要依据有：</w:t>
      </w:r>
    </w:p>
    <w:p>
      <w:pPr>
        <w:spacing w:line="560" w:lineRule="exact"/>
        <w:ind w:firstLine="560"/>
        <w:rPr>
          <w:sz w:val="28"/>
          <w:szCs w:val="28"/>
        </w:rPr>
      </w:pPr>
      <w:r>
        <w:rPr>
          <w:sz w:val="28"/>
          <w:szCs w:val="28"/>
        </w:rPr>
        <w:t>1.《危险废物经营许可证管理办法》（国务院令第666号）</w:t>
      </w:r>
    </w:p>
    <w:p>
      <w:pPr>
        <w:spacing w:line="560" w:lineRule="exact"/>
        <w:ind w:firstLine="560"/>
        <w:rPr>
          <w:sz w:val="28"/>
          <w:szCs w:val="28"/>
        </w:rPr>
      </w:pPr>
      <w:r>
        <w:rPr>
          <w:sz w:val="28"/>
          <w:szCs w:val="28"/>
        </w:rPr>
        <w:t>2.《关于建设全省危险废物智能监控体系的通知》（冀环办发〔2017〕112号</w:t>
      </w:r>
    </w:p>
    <w:p>
      <w:pPr>
        <w:spacing w:line="560" w:lineRule="exact"/>
        <w:ind w:firstLine="560"/>
        <w:rPr>
          <w:sz w:val="28"/>
          <w:szCs w:val="28"/>
        </w:rPr>
      </w:pPr>
      <w:r>
        <w:rPr>
          <w:sz w:val="28"/>
          <w:szCs w:val="28"/>
        </w:rPr>
        <w:t>3.《国务院办公厅关于印发“无废城市”建设试点工作方案的通知》（国办发〔2018〕128号）</w:t>
      </w:r>
    </w:p>
    <w:p>
      <w:pPr>
        <w:spacing w:line="560" w:lineRule="exact"/>
        <w:ind w:firstLine="560"/>
        <w:rPr>
          <w:sz w:val="28"/>
          <w:szCs w:val="28"/>
        </w:rPr>
      </w:pPr>
      <w:r>
        <w:rPr>
          <w:sz w:val="28"/>
          <w:szCs w:val="28"/>
        </w:rPr>
        <w:t>4.《关于坚决遏制固体废物非法转移和倾倒进一步加强危险废物全过程监管的通知》（环办土壤函〔2018〕266号）</w:t>
      </w:r>
    </w:p>
    <w:p>
      <w:pPr>
        <w:spacing w:line="560" w:lineRule="exact"/>
        <w:ind w:firstLine="560"/>
        <w:rPr>
          <w:sz w:val="28"/>
          <w:szCs w:val="28"/>
        </w:rPr>
      </w:pPr>
      <w:r>
        <w:rPr>
          <w:sz w:val="28"/>
          <w:szCs w:val="28"/>
        </w:rPr>
        <w:t>5.《关于全面加强危险废物污染防治工作的若干措施》（冀生态环保办〔2018〕17号）</w:t>
      </w:r>
    </w:p>
    <w:p>
      <w:pPr>
        <w:spacing w:line="560" w:lineRule="exact"/>
        <w:ind w:firstLine="560"/>
        <w:rPr>
          <w:sz w:val="28"/>
          <w:szCs w:val="28"/>
        </w:rPr>
      </w:pPr>
      <w:r>
        <w:rPr>
          <w:sz w:val="28"/>
          <w:szCs w:val="28"/>
        </w:rPr>
        <w:t>6.《中共河北省委河北省人民政府关于全面加强生态环境保护坚决打好污染防治攻坚战的实施意见》（冀发〔2018〕38号）</w:t>
      </w:r>
    </w:p>
    <w:p>
      <w:pPr>
        <w:spacing w:line="560" w:lineRule="exact"/>
        <w:ind w:firstLine="560"/>
        <w:rPr>
          <w:sz w:val="28"/>
          <w:szCs w:val="28"/>
        </w:rPr>
      </w:pPr>
      <w:r>
        <w:rPr>
          <w:sz w:val="28"/>
          <w:szCs w:val="28"/>
        </w:rPr>
        <w:t>7.《关于印发&lt;全国固体废物管理信息系统数据对接要求&gt;的通知》（环固管函〔2019〕55号）</w:t>
      </w:r>
    </w:p>
    <w:p>
      <w:pPr>
        <w:spacing w:line="560" w:lineRule="exact"/>
        <w:ind w:firstLine="560"/>
        <w:rPr>
          <w:sz w:val="28"/>
          <w:szCs w:val="28"/>
        </w:rPr>
      </w:pPr>
      <w:r>
        <w:rPr>
          <w:sz w:val="28"/>
          <w:szCs w:val="28"/>
        </w:rPr>
        <w:t>8.《关于提升危险废物环境监管能力、利用处置能力和环境风险防范能力的指导意见》（环固体〔2019〕92号）</w:t>
      </w:r>
    </w:p>
    <w:p>
      <w:pPr>
        <w:spacing w:line="560" w:lineRule="exact"/>
        <w:ind w:firstLine="560"/>
        <w:rPr>
          <w:sz w:val="28"/>
          <w:szCs w:val="28"/>
        </w:rPr>
      </w:pPr>
      <w:r>
        <w:rPr>
          <w:sz w:val="28"/>
          <w:szCs w:val="28"/>
        </w:rPr>
        <w:t>9.《关于加快推进全国固体废物管理信息系统联网运行工作的通知》（环办固体函〔2019〕193号）</w:t>
      </w:r>
    </w:p>
    <w:p>
      <w:pPr>
        <w:spacing w:line="560" w:lineRule="exact"/>
        <w:ind w:firstLine="560"/>
        <w:rPr>
          <w:sz w:val="28"/>
          <w:szCs w:val="28"/>
        </w:rPr>
      </w:pPr>
      <w:r>
        <w:rPr>
          <w:sz w:val="28"/>
          <w:szCs w:val="28"/>
        </w:rPr>
        <w:t>10.《中华人民共和国固体废物污染环境防治法》（中华人民共和国主席令第四十三号，由中华人民共和国第十三届全国人民代表大会常务委员会第十七次会议修订通过，自2020年9月1日起施行）</w:t>
      </w:r>
    </w:p>
    <w:p>
      <w:pPr>
        <w:spacing w:line="560" w:lineRule="exact"/>
        <w:ind w:firstLine="560"/>
        <w:rPr>
          <w:sz w:val="28"/>
          <w:szCs w:val="28"/>
        </w:rPr>
      </w:pPr>
      <w:r>
        <w:rPr>
          <w:sz w:val="28"/>
          <w:szCs w:val="28"/>
        </w:rPr>
        <w:t>11.《全国安全生产专项整治三年行动计划》（安委〔2020〕3号）</w:t>
      </w:r>
    </w:p>
    <w:p>
      <w:pPr>
        <w:spacing w:line="560" w:lineRule="exact"/>
        <w:ind w:firstLine="560"/>
        <w:rPr>
          <w:sz w:val="28"/>
          <w:szCs w:val="28"/>
        </w:rPr>
      </w:pPr>
      <w:r>
        <w:rPr>
          <w:sz w:val="28"/>
          <w:szCs w:val="28"/>
        </w:rPr>
        <w:t>12.《国家危险废物名录（2021年版）》（2020年11月5日经生态环境部部务会议审议通过）</w:t>
      </w:r>
    </w:p>
    <w:p>
      <w:pPr>
        <w:spacing w:line="560" w:lineRule="exact"/>
        <w:ind w:firstLine="560"/>
        <w:rPr>
          <w:sz w:val="28"/>
          <w:szCs w:val="28"/>
        </w:rPr>
      </w:pPr>
      <w:r>
        <w:rPr>
          <w:sz w:val="28"/>
          <w:szCs w:val="28"/>
        </w:rPr>
        <w:t>13.《国务院办公厅关于印发强化危险废物监管和利用处置能力改革实施方案的通知》（国办函〔2021〕47号）</w:t>
      </w:r>
    </w:p>
    <w:p>
      <w:pPr>
        <w:spacing w:line="560" w:lineRule="exact"/>
        <w:ind w:firstLine="560"/>
        <w:rPr>
          <w:sz w:val="28"/>
          <w:szCs w:val="28"/>
        </w:rPr>
      </w:pPr>
      <w:r>
        <w:rPr>
          <w:sz w:val="28"/>
          <w:szCs w:val="28"/>
        </w:rPr>
        <w:t>14.《河北省生态环境厅关于加快危险废物智能化环境监管平台建设的指导意见》（冀环规范〔2021〕1号）</w:t>
      </w:r>
    </w:p>
    <w:p>
      <w:pPr>
        <w:spacing w:line="560" w:lineRule="exact"/>
        <w:ind w:firstLine="560"/>
        <w:rPr>
          <w:sz w:val="28"/>
          <w:szCs w:val="28"/>
        </w:rPr>
      </w:pPr>
      <w:r>
        <w:rPr>
          <w:sz w:val="28"/>
          <w:szCs w:val="28"/>
        </w:rPr>
        <w:t>15.《关于构建现代环境治理体系的指导意见》</w:t>
      </w:r>
    </w:p>
    <w:p>
      <w:pPr>
        <w:spacing w:line="560" w:lineRule="exact"/>
        <w:ind w:firstLine="560"/>
        <w:rPr>
          <w:sz w:val="28"/>
          <w:szCs w:val="28"/>
        </w:rPr>
      </w:pPr>
      <w:r>
        <w:rPr>
          <w:sz w:val="28"/>
          <w:szCs w:val="28"/>
        </w:rPr>
        <w:t>16.《关于全面加强危险化学品安全生产工作的意见》</w:t>
      </w:r>
    </w:p>
    <w:p>
      <w:pPr>
        <w:spacing w:line="560" w:lineRule="exact"/>
        <w:ind w:firstLine="560"/>
        <w:rPr>
          <w:sz w:val="28"/>
          <w:szCs w:val="28"/>
        </w:rPr>
      </w:pPr>
      <w:r>
        <w:rPr>
          <w:sz w:val="28"/>
          <w:szCs w:val="28"/>
        </w:rPr>
        <w:t>17.《固体废物鉴别标准 通则》</w:t>
      </w:r>
    </w:p>
    <w:p>
      <w:pPr>
        <w:spacing w:line="560" w:lineRule="exact"/>
        <w:ind w:firstLine="560"/>
        <w:rPr>
          <w:sz w:val="28"/>
          <w:szCs w:val="28"/>
        </w:rPr>
      </w:pPr>
      <w:r>
        <w:rPr>
          <w:sz w:val="28"/>
          <w:szCs w:val="28"/>
        </w:rPr>
        <w:t>18.《危险废物收集 贮存 运输技术规范》</w:t>
      </w:r>
    </w:p>
    <w:p>
      <w:pPr>
        <w:spacing w:line="560" w:lineRule="exact"/>
        <w:ind w:firstLine="560"/>
        <w:rPr>
          <w:sz w:val="28"/>
          <w:szCs w:val="28"/>
        </w:rPr>
      </w:pPr>
      <w:r>
        <w:rPr>
          <w:sz w:val="28"/>
          <w:szCs w:val="28"/>
        </w:rPr>
        <w:t>19.《危险废物鉴别标准 毒性物质含量鉴别》</w:t>
      </w:r>
    </w:p>
    <w:p>
      <w:pPr>
        <w:spacing w:line="560" w:lineRule="exact"/>
        <w:ind w:firstLine="560"/>
        <w:rPr>
          <w:sz w:val="28"/>
          <w:szCs w:val="28"/>
        </w:rPr>
      </w:pPr>
      <w:r>
        <w:rPr>
          <w:sz w:val="28"/>
          <w:szCs w:val="28"/>
        </w:rPr>
        <w:t>20.《危险废物鉴别标准 反应性鉴别》</w:t>
      </w:r>
    </w:p>
    <w:p>
      <w:pPr>
        <w:spacing w:line="560" w:lineRule="exact"/>
        <w:ind w:firstLine="560"/>
        <w:rPr>
          <w:sz w:val="28"/>
          <w:szCs w:val="28"/>
        </w:rPr>
      </w:pPr>
      <w:r>
        <w:rPr>
          <w:sz w:val="28"/>
          <w:szCs w:val="28"/>
        </w:rPr>
        <w:t>21.《危险废物鉴别标准 易燃性鉴别》</w:t>
      </w:r>
    </w:p>
    <w:p>
      <w:pPr>
        <w:pStyle w:val="3"/>
      </w:pPr>
      <w:bookmarkStart w:id="5" w:name="_Toc97654019"/>
      <w:r>
        <w:t>建设目标、规模、内容、周期</w:t>
      </w:r>
      <w:bookmarkEnd w:id="5"/>
    </w:p>
    <w:p>
      <w:pPr>
        <w:pStyle w:val="4"/>
      </w:pPr>
      <w:bookmarkStart w:id="6" w:name="_Toc97654020"/>
      <w:r>
        <w:t>建设目标</w:t>
      </w:r>
      <w:bookmarkEnd w:id="6"/>
    </w:p>
    <w:p>
      <w:pPr>
        <w:ind w:firstLine="560"/>
        <w:rPr>
          <w:sz w:val="28"/>
          <w:szCs w:val="28"/>
        </w:rPr>
      </w:pPr>
      <w:r>
        <w:rPr>
          <w:sz w:val="28"/>
          <w:szCs w:val="28"/>
        </w:rPr>
        <w:t>通过本平台建设，回流河北省固体废物动态信息平台中关于保定市固体废物产生、转移、处置利用的全过程信息，建立集动态管理、业务流转、数据分析和预测预警等一体化的危险废物智能监控平台。为日常管理工作提供支持，自动发现各类弄虚作假现象，协助管理部门加大对产生、交换、转移、利用、处置全过程的监管力度，防止和减少违法事件。</w:t>
      </w:r>
    </w:p>
    <w:p>
      <w:pPr>
        <w:pStyle w:val="4"/>
      </w:pPr>
      <w:bookmarkStart w:id="7" w:name="_Toc97654021"/>
      <w:r>
        <w:t>建设规模</w:t>
      </w:r>
      <w:bookmarkEnd w:id="7"/>
    </w:p>
    <w:p>
      <w:pPr>
        <w:ind w:firstLine="560"/>
        <w:rPr>
          <w:sz w:val="28"/>
          <w:szCs w:val="28"/>
        </w:rPr>
      </w:pPr>
      <w:r>
        <w:rPr>
          <w:sz w:val="28"/>
          <w:szCs w:val="28"/>
        </w:rPr>
        <w:t>本项目面向全市危险废物监管的建设需求，从危险废物产生、出入库、出厂、转移、处置等全方面完善保定市危险废物智能监控体系，监控手段涵盖视频监控、智能称重设施等技术，功能上满足危险废物智能监控数据汇总、传输、分析及管理的需要。</w:t>
      </w:r>
    </w:p>
    <w:p>
      <w:pPr>
        <w:pStyle w:val="4"/>
      </w:pPr>
      <w:bookmarkStart w:id="8" w:name="_Toc97654022"/>
      <w:r>
        <w:t>建设内容</w:t>
      </w:r>
      <w:bookmarkEnd w:id="8"/>
    </w:p>
    <w:p>
      <w:pPr>
        <w:spacing w:line="560" w:lineRule="exact"/>
        <w:ind w:firstLine="560"/>
        <w:rPr>
          <w:sz w:val="28"/>
          <w:szCs w:val="28"/>
        </w:rPr>
      </w:pPr>
      <w:r>
        <w:rPr>
          <w:sz w:val="28"/>
          <w:szCs w:val="28"/>
        </w:rPr>
        <w:t>该项目建设分为数据支撑平台、危废全生命周期监管、移动端APP、数据对接、视频数据采集及企业自建部分。</w:t>
      </w:r>
    </w:p>
    <w:p>
      <w:pPr>
        <w:spacing w:line="560" w:lineRule="exact"/>
        <w:ind w:firstLine="560"/>
        <w:rPr>
          <w:sz w:val="28"/>
          <w:szCs w:val="28"/>
        </w:rPr>
      </w:pPr>
      <w:r>
        <w:rPr>
          <w:sz w:val="28"/>
          <w:szCs w:val="28"/>
        </w:rPr>
        <w:t>（一）数据支撑平台。数据支撑平台建设包括四大核心模块（数据智能采集、数据信息存储、数据仓库、数据管理）建设。</w:t>
      </w:r>
    </w:p>
    <w:p>
      <w:pPr>
        <w:spacing w:line="560" w:lineRule="exact"/>
        <w:ind w:firstLine="560"/>
        <w:rPr>
          <w:sz w:val="28"/>
          <w:szCs w:val="28"/>
        </w:rPr>
      </w:pPr>
      <w:r>
        <w:rPr>
          <w:sz w:val="28"/>
          <w:szCs w:val="28"/>
        </w:rPr>
        <w:t>（二）危废全生命周期监管。实现危险废物产废数据、自行利用处置数据、贮存数据、委外转移数据、利用处置数据、利用处置后数据等的数据申报采集，规范危废六环节数据采集上报。</w:t>
      </w:r>
    </w:p>
    <w:p>
      <w:pPr>
        <w:spacing w:line="560" w:lineRule="exact"/>
        <w:ind w:firstLine="560"/>
        <w:rPr>
          <w:sz w:val="28"/>
          <w:szCs w:val="28"/>
        </w:rPr>
      </w:pPr>
      <w:r>
        <w:rPr>
          <w:sz w:val="28"/>
          <w:szCs w:val="28"/>
        </w:rPr>
        <w:t>（三）移动端APP。手机APP包括数据综合展示、任务管理（待办任务、任务上报）、扫描检查、电子地图、一企一档、视频信息、统计分析。对用户辖区范围内危废总量数据进行综合统计展示，展示内容包括本市产废家数、处置家数、产废总量、处置总量、产废分布、重点关注对象等。</w:t>
      </w:r>
    </w:p>
    <w:p>
      <w:pPr>
        <w:spacing w:line="560" w:lineRule="exact"/>
        <w:ind w:firstLine="560"/>
        <w:rPr>
          <w:sz w:val="28"/>
          <w:szCs w:val="28"/>
        </w:rPr>
      </w:pPr>
      <w:r>
        <w:rPr>
          <w:sz w:val="28"/>
          <w:szCs w:val="28"/>
        </w:rPr>
        <w:t>（四）数据对接。依托数据共享服务接口与河北省固体废物动态信息监控平台、</w:t>
      </w:r>
      <w:r>
        <w:rPr>
          <w:color w:val="000000"/>
          <w:kern w:val="0"/>
          <w:sz w:val="28"/>
          <w:szCs w:val="28"/>
        </w:rPr>
        <w:t>交管部门危废运输车辆信息</w:t>
      </w:r>
      <w:r>
        <w:rPr>
          <w:sz w:val="28"/>
          <w:szCs w:val="28"/>
        </w:rPr>
        <w:t>进行对接共享，提供涉市产废单位的基本信息、产废月报信息、联单信息、管理计划信息等，运输单位基本信息、车辆信息等，经营处置单位的基本信息、许可证信息（含处置能力、处置范围）与跨省市转移的联单信息等。</w:t>
      </w:r>
    </w:p>
    <w:p>
      <w:pPr>
        <w:spacing w:line="560" w:lineRule="exact"/>
        <w:ind w:firstLine="560"/>
        <w:rPr>
          <w:sz w:val="28"/>
          <w:szCs w:val="28"/>
        </w:rPr>
      </w:pPr>
      <w:r>
        <w:rPr>
          <w:sz w:val="28"/>
          <w:szCs w:val="28"/>
        </w:rPr>
        <w:t>（五）视频数据采集。实现企业的视频设备接入（如IPC、NVR、华为SDC等）、视频管理和视频AI分析</w:t>
      </w:r>
      <w:r>
        <w:rPr>
          <w:rFonts w:hint="eastAsia"/>
          <w:sz w:val="28"/>
          <w:szCs w:val="28"/>
        </w:rPr>
        <w:t>接入</w:t>
      </w:r>
      <w:r>
        <w:rPr>
          <w:sz w:val="28"/>
          <w:szCs w:val="28"/>
        </w:rPr>
        <w:t>的能力。</w:t>
      </w:r>
    </w:p>
    <w:p>
      <w:pPr>
        <w:spacing w:line="560" w:lineRule="exact"/>
        <w:ind w:firstLine="560"/>
        <w:rPr>
          <w:sz w:val="28"/>
          <w:szCs w:val="28"/>
        </w:rPr>
      </w:pPr>
      <w:r>
        <w:rPr>
          <w:sz w:val="28"/>
          <w:szCs w:val="28"/>
        </w:rPr>
        <w:t>（六）企业自建。选取一批重点企业自行安装物联网设备，配备视频监控、视频边缘计算节点、智能称重终端，平台提供统一标准规范供企业自行将视频AI分析结果信息、称重申报信息接入。企业通过智能称重设备过磅操作，打印危险废物二维码标签，做到一袋一码，实现从危废称重、标签、出入库、申报到转移等全流程的业务自动化，与平台实时通信，可实现危废即产生即真实申报，有效提升企业申报效率和管理水平。</w:t>
      </w:r>
    </w:p>
    <w:p>
      <w:pPr>
        <w:pStyle w:val="4"/>
      </w:pPr>
      <w:bookmarkStart w:id="9" w:name="_Toc97654023"/>
      <w:r>
        <w:t>建设周期</w:t>
      </w:r>
      <w:bookmarkEnd w:id="9"/>
    </w:p>
    <w:p>
      <w:pPr>
        <w:spacing w:line="560" w:lineRule="exact"/>
        <w:ind w:firstLine="560"/>
        <w:rPr>
          <w:sz w:val="28"/>
          <w:szCs w:val="28"/>
        </w:rPr>
      </w:pPr>
      <w:r>
        <w:rPr>
          <w:sz w:val="28"/>
          <w:szCs w:val="28"/>
        </w:rPr>
        <w:t>2022年4月-6月，项目总体周期是90个日历天。</w:t>
      </w:r>
    </w:p>
    <w:p>
      <w:pPr>
        <w:pStyle w:val="3"/>
      </w:pPr>
      <w:bookmarkStart w:id="10" w:name="_Toc97654024"/>
      <w:r>
        <w:t>总投资及来源</w:t>
      </w:r>
      <w:bookmarkEnd w:id="10"/>
    </w:p>
    <w:p>
      <w:pPr>
        <w:spacing w:line="560" w:lineRule="exact"/>
        <w:ind w:firstLine="560"/>
        <w:rPr>
          <w:sz w:val="28"/>
          <w:szCs w:val="28"/>
        </w:rPr>
      </w:pPr>
      <w:r>
        <w:rPr>
          <w:sz w:val="28"/>
          <w:szCs w:val="28"/>
        </w:rPr>
        <w:t>项目总投资</w:t>
      </w:r>
      <w:r>
        <w:rPr>
          <w:rFonts w:hint="eastAsia"/>
          <w:sz w:val="28"/>
          <w:szCs w:val="28"/>
        </w:rPr>
        <w:t>94.93</w:t>
      </w:r>
      <w:r>
        <w:rPr>
          <w:sz w:val="28"/>
          <w:szCs w:val="28"/>
        </w:rPr>
        <w:t>万元，项目已列入市财政预算资金保障计划。项目资金来源于市级财政。</w:t>
      </w:r>
    </w:p>
    <w:p>
      <w:pPr>
        <w:pStyle w:val="3"/>
      </w:pPr>
      <w:bookmarkStart w:id="11" w:name="_Toc97654025"/>
      <w:r>
        <w:t>经济及社会效益</w:t>
      </w:r>
      <w:bookmarkEnd w:id="11"/>
    </w:p>
    <w:p>
      <w:pPr>
        <w:ind w:firstLine="560"/>
        <w:rPr>
          <w:sz w:val="28"/>
          <w:szCs w:val="28"/>
        </w:rPr>
      </w:pPr>
      <w:r>
        <w:rPr>
          <w:sz w:val="28"/>
          <w:szCs w:val="28"/>
        </w:rPr>
        <w:t>（1）转变危险废物监管重点，减少治理成本</w:t>
      </w:r>
    </w:p>
    <w:p>
      <w:pPr>
        <w:spacing w:line="560" w:lineRule="exact"/>
        <w:ind w:firstLine="560"/>
        <w:rPr>
          <w:sz w:val="28"/>
          <w:szCs w:val="28"/>
        </w:rPr>
      </w:pPr>
      <w:r>
        <w:rPr>
          <w:sz w:val="28"/>
          <w:szCs w:val="28"/>
        </w:rPr>
        <w:t>保定市危险废物智能化环境监管平台建设避免环境监管工作重点放到末端治理上，由以前的“坐等上门”变为现在的“主动发现”，使问题、矛盾发现和处理的关口前移，帮助管理部分从源头预防，减少政府环保危险废物污染治理资金投入。</w:t>
      </w:r>
    </w:p>
    <w:p>
      <w:pPr>
        <w:ind w:firstLine="560"/>
        <w:rPr>
          <w:sz w:val="28"/>
          <w:szCs w:val="28"/>
        </w:rPr>
      </w:pPr>
      <w:r>
        <w:rPr>
          <w:sz w:val="28"/>
          <w:szCs w:val="28"/>
        </w:rPr>
        <w:t>（2）提高危险废物管理效能，降低管理成本</w:t>
      </w:r>
    </w:p>
    <w:p>
      <w:pPr>
        <w:spacing w:line="560" w:lineRule="exact"/>
        <w:ind w:firstLine="560"/>
        <w:rPr>
          <w:sz w:val="28"/>
          <w:szCs w:val="28"/>
        </w:rPr>
      </w:pPr>
      <w:r>
        <w:rPr>
          <w:sz w:val="28"/>
          <w:szCs w:val="28"/>
        </w:rPr>
        <w:t>保定市危险废物智能化环境监管平台打造了更为严格、精细的危险废物全过程智能监管体系，为生态环境部门真实、细致、及时、动态地掌握危险废物产生、转移、处置情况提供了先进智能的技术手段，为领导决策提供了辅助支持，使危险废物管理事业上升了一个台阶，提高了危险废物管理效能，降低了管理成本。</w:t>
      </w:r>
    </w:p>
    <w:p>
      <w:pPr>
        <w:pStyle w:val="3"/>
      </w:pPr>
      <w:bookmarkStart w:id="12" w:name="_Toc97654026"/>
      <w:r>
        <w:t>结论及建议</w:t>
      </w:r>
      <w:bookmarkEnd w:id="12"/>
    </w:p>
    <w:p>
      <w:pPr>
        <w:spacing w:line="560" w:lineRule="exact"/>
        <w:ind w:firstLine="560"/>
        <w:rPr>
          <w:sz w:val="28"/>
          <w:szCs w:val="28"/>
        </w:rPr>
      </w:pPr>
      <w:r>
        <w:rPr>
          <w:sz w:val="28"/>
          <w:szCs w:val="28"/>
        </w:rPr>
        <w:t>主要结论：该项目响应了党中央、国务院、以及地方政府对危险废物管理的相关政策要求，建设目标明确具体，是保定市生态环境局提升危险废物监管能力，控制危废环境风险，提升危险废物污染防治信息化管理水平的重要举措和有力抓手。同时，本着监管与服务并举的原则，该项目建成后还面向涉废企事业单位提供比较完整的危险废物全流程管控和服务体系，具有很好的社会效益和经济效益。</w:t>
      </w:r>
    </w:p>
    <w:p>
      <w:pPr>
        <w:spacing w:line="560" w:lineRule="exact"/>
        <w:ind w:firstLine="560"/>
        <w:rPr>
          <w:sz w:val="28"/>
          <w:szCs w:val="28"/>
        </w:rPr>
      </w:pPr>
      <w:r>
        <w:rPr>
          <w:sz w:val="28"/>
          <w:szCs w:val="28"/>
        </w:rPr>
        <w:t>相关建议：与本项目相关的人员组织、技术力量、资金等条件已经具备，建设时机也已成熟，建议本项目按程序尽早得到批准与实施，使其尽快投入使用，实现项目的经济和社会效益，为建设保定美好家园做出贡献。</w:t>
      </w:r>
    </w:p>
    <w:p>
      <w:pPr>
        <w:pStyle w:val="2"/>
        <w:ind w:firstLine="643"/>
        <w:rPr>
          <w:sz w:val="28"/>
          <w:szCs w:val="28"/>
        </w:rPr>
      </w:pPr>
      <w:bookmarkStart w:id="13" w:name="_Toc97654027"/>
      <w:r>
        <w:rPr>
          <w:sz w:val="28"/>
          <w:szCs w:val="28"/>
        </w:rPr>
        <w:t>项目承担单位概况</w:t>
      </w:r>
      <w:bookmarkEnd w:id="13"/>
    </w:p>
    <w:p>
      <w:pPr>
        <w:pStyle w:val="3"/>
      </w:pPr>
      <w:bookmarkStart w:id="14" w:name="_Toc97654028"/>
      <w:r>
        <w:t>项目承担单位与职能</w:t>
      </w:r>
      <w:bookmarkEnd w:id="14"/>
    </w:p>
    <w:p>
      <w:pPr>
        <w:spacing w:line="560" w:lineRule="exact"/>
        <w:ind w:firstLine="560"/>
        <w:rPr>
          <w:sz w:val="28"/>
          <w:szCs w:val="28"/>
        </w:rPr>
      </w:pPr>
      <w:r>
        <w:rPr>
          <w:sz w:val="28"/>
          <w:szCs w:val="28"/>
        </w:rPr>
        <w:t>保定市生态环境局是保定市委、市政府对全市环境保护工作依法实施统一监督管理的职能部门，是市政府对全市辖区环境状况实施统一监督管理的行政执法部门。实行分级管理，以当地政府管理环境为主，市生态环境局对各县（市、区）生态环境分局实行业务指导。</w:t>
      </w:r>
    </w:p>
    <w:p>
      <w:pPr>
        <w:pStyle w:val="3"/>
      </w:pPr>
      <w:bookmarkStart w:id="15" w:name="_Toc97654029"/>
      <w:r>
        <w:t>项目实施机构与职责</w:t>
      </w:r>
      <w:bookmarkEnd w:id="15"/>
    </w:p>
    <w:p>
      <w:pPr>
        <w:spacing w:line="560" w:lineRule="exact"/>
        <w:ind w:firstLine="560"/>
        <w:rPr>
          <w:rFonts w:eastAsia="黑体"/>
          <w:sz w:val="28"/>
          <w:szCs w:val="28"/>
        </w:rPr>
      </w:pPr>
      <w:r>
        <w:rPr>
          <w:sz w:val="28"/>
          <w:szCs w:val="28"/>
        </w:rPr>
        <w:t>保定市生态环境局固体废物与化学品处负责全市固体废物、化学品、重金属等污染防治的监督管理，组织实施全市危险废物经营许可（不含医疗废物）、固体废物进口许可环保核查、新化学物质环境管理等。</w:t>
      </w:r>
    </w:p>
    <w:p>
      <w:pPr>
        <w:pStyle w:val="2"/>
        <w:ind w:firstLine="643"/>
        <w:rPr>
          <w:sz w:val="28"/>
          <w:szCs w:val="28"/>
        </w:rPr>
      </w:pPr>
      <w:bookmarkStart w:id="16" w:name="_Toc97654030"/>
      <w:r>
        <w:rPr>
          <w:sz w:val="28"/>
          <w:szCs w:val="28"/>
        </w:rPr>
        <w:t>项目建设的必要性</w:t>
      </w:r>
      <w:bookmarkEnd w:id="16"/>
    </w:p>
    <w:p>
      <w:pPr>
        <w:pStyle w:val="3"/>
      </w:pPr>
      <w:bookmarkStart w:id="17" w:name="_Toc97654031"/>
      <w:r>
        <w:t>项目提出的背景和依据</w:t>
      </w:r>
      <w:bookmarkEnd w:id="17"/>
    </w:p>
    <w:p>
      <w:pPr>
        <w:ind w:firstLine="560"/>
        <w:rPr>
          <w:sz w:val="28"/>
          <w:szCs w:val="28"/>
        </w:rPr>
      </w:pPr>
      <w:r>
        <w:rPr>
          <w:sz w:val="28"/>
          <w:szCs w:val="28"/>
        </w:rPr>
        <w:t>2020年4月，《中华人民共和国固体废物污染环境防治法》由中华人民共和国第十三届全国人民代表大会常务委员会第十七次会议修订通过，自2020年9月1日起施行。《中华人民共和国固体废物污染环境防治法》在完善工业固体废物污染环境防治制度方面，强化了产生者责任，包括要建立健全工业固体废物产生、收集、贮存、运输、利用、处置全过程的污染环境防治责任制度，建立管理台账并如实记录；委托他人运输、利用、处置违反本法规定的，除依照规定处罚外还将与委托方一起承担连带责任。并规定根据危险废物的危害特性和产生数量，实施分级分类管理，建立信息化监管体系，通过信息化手段管理、共享危险废物转移数据和信息。</w:t>
      </w:r>
    </w:p>
    <w:p>
      <w:pPr>
        <w:ind w:firstLine="560"/>
        <w:rPr>
          <w:sz w:val="28"/>
          <w:szCs w:val="28"/>
        </w:rPr>
      </w:pPr>
      <w:r>
        <w:rPr>
          <w:sz w:val="28"/>
          <w:szCs w:val="28"/>
        </w:rPr>
        <w:t>2021年5月11日国务院办公厅关于印发《强化危险废物监管和利用处置能力改革实施方案》的通知，文件提到：鼓励有条件的地区推行视频监控、电子标签等集成智能监控手段，实现对危险废物全过程跟踪管理，并与相关行政机关、司法机关实现互通共享。</w:t>
      </w:r>
    </w:p>
    <w:p>
      <w:pPr>
        <w:ind w:firstLine="560"/>
        <w:rPr>
          <w:sz w:val="28"/>
          <w:szCs w:val="28"/>
        </w:rPr>
      </w:pPr>
      <w:r>
        <w:rPr>
          <w:sz w:val="28"/>
          <w:szCs w:val="28"/>
        </w:rPr>
        <w:t>2016年6月，河北省省政府坚持把固体废物（危险废物）防治作为重要工作，提出了《关于全面加强危险废物污染防治措施工作的若干措施》(冀环防[2016]159号)，明确固体废物（危险废物）防治工作方向和重点。为推动危险废物实现全过程动态监管，省生态环境厅对固体废物动态信息平台进行功能升级，一方面强化危险废物异常数据预警信息推送，增加涉危险废物小微企业申报，将涉危险废物工业企业全部纳入信息平台管理；另一方面以涉危险废物重点监管企业为主线，编制了全省涉危险废物重点企业电子台账，形成了全省重点涉危险废物企业区域分布、总体概况及危险废物产生、贮存、转移、利用、处置等信息动态电子化‘一张图’，实现了由点到面、从微观到宏观的全过程信息化监管。</w:t>
      </w:r>
    </w:p>
    <w:p>
      <w:pPr>
        <w:ind w:firstLine="560"/>
        <w:rPr>
          <w:sz w:val="28"/>
          <w:szCs w:val="28"/>
        </w:rPr>
      </w:pPr>
      <w:r>
        <w:rPr>
          <w:sz w:val="28"/>
          <w:szCs w:val="28"/>
        </w:rPr>
        <w:t>2021年2月23日，河北省生态环境厅出台《河北省生态环境厅关于加快危险废物智能化环境监管平台建设的指导意见》（冀环规范〔2021〕1号），要求：“各市（含定州、辛集市）生态环境局、河北雄安新区管委会生态环境局基本完成市级危险废物智能化监管平台建设，或完成已有信息化平台升级改造，并与辖区内安装智能监控设备的涉危险废物企业联网运行”。</w:t>
      </w:r>
    </w:p>
    <w:p>
      <w:pPr>
        <w:ind w:firstLine="560"/>
        <w:rPr>
          <w:sz w:val="28"/>
          <w:szCs w:val="28"/>
        </w:rPr>
      </w:pPr>
      <w:r>
        <w:rPr>
          <w:sz w:val="28"/>
          <w:szCs w:val="28"/>
        </w:rPr>
        <w:t>基于生态环境部及河北省生态环境厅关于危险废物的管理要求，地市生态环境局亟需改变过去“重处置单位监管、轻产废单位监管”的管理方式，加强涉废单位对危废后续转移及处置利用过程的责任，按照产废、经营、运输和环保管理四个门户将业务信息进行重新划分和梳理，采集危险废物产生、转移、处置利用的过程和运行状况信息，构建“产生-转移-处置”流向监管信息网，实现“全生命周期”可追溯可视化智能管理。</w:t>
      </w:r>
    </w:p>
    <w:p>
      <w:pPr>
        <w:pStyle w:val="3"/>
      </w:pPr>
      <w:bookmarkStart w:id="18" w:name="_Toc97654032"/>
      <w:r>
        <w:t>现有信息系统装备和信息化应用状况</w:t>
      </w:r>
      <w:bookmarkEnd w:id="18"/>
    </w:p>
    <w:p>
      <w:pPr>
        <w:spacing w:line="560" w:lineRule="exact"/>
        <w:ind w:firstLine="560"/>
        <w:rPr>
          <w:sz w:val="28"/>
          <w:szCs w:val="28"/>
        </w:rPr>
      </w:pPr>
      <w:r>
        <w:rPr>
          <w:sz w:val="28"/>
          <w:szCs w:val="28"/>
        </w:rPr>
        <w:t>保定市目前在用的危废业务系统为河北省固体废物动态信息管理平台，通过产生源管理、危险废物转移管理、经营单位管理等模块，基本能实现企业的年度管理计划备案、危险废物申报登记、经营单位年报、联单运行等基础危废管理需求，但保定市仅能通过市级权限进行查看，无法拿到详细的本市危险废物各环节数据，无法实现根据自身需求进行自定义预警、分析。本系统建成后将与河北省固体废物动态信息管理平台</w:t>
      </w:r>
      <w:r>
        <w:rPr>
          <w:rFonts w:hint="eastAsia"/>
          <w:sz w:val="28"/>
          <w:szCs w:val="28"/>
        </w:rPr>
        <w:t>进行</w:t>
      </w:r>
      <w:r>
        <w:rPr>
          <w:sz w:val="28"/>
          <w:szCs w:val="28"/>
        </w:rPr>
        <w:t>对接，实现省级平台中涉保定市危险废物企业基础信息、产生、转移、处置利用的全过程信息数据的回流，同时可根据自身需求，依托视频监控、电子标签等技术，实现危险废物智能化监管，同时进行个性化统计分析。</w:t>
      </w:r>
    </w:p>
    <w:p>
      <w:pPr>
        <w:pStyle w:val="3"/>
      </w:pPr>
      <w:bookmarkStart w:id="19" w:name="_Toc97654033"/>
      <w:r>
        <w:t>信息系统装备和应用目前存在的主要问题和差距</w:t>
      </w:r>
      <w:bookmarkEnd w:id="19"/>
    </w:p>
    <w:p>
      <w:pPr>
        <w:pStyle w:val="4"/>
      </w:pPr>
      <w:bookmarkStart w:id="20" w:name="_Toc97654034"/>
      <w:r>
        <w:t>企业台账数据申报不及时，数据准确性、真实性存疑</w:t>
      </w:r>
      <w:bookmarkEnd w:id="20"/>
    </w:p>
    <w:p>
      <w:pPr>
        <w:ind w:firstLine="560"/>
        <w:rPr>
          <w:sz w:val="28"/>
          <w:szCs w:val="28"/>
        </w:rPr>
      </w:pPr>
      <w:r>
        <w:rPr>
          <w:sz w:val="28"/>
          <w:szCs w:val="28"/>
        </w:rPr>
        <w:t>根据新《固废法》第三十六条提出的“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目前尚未建立完整的台账申报体系，台账申报不完整，台账申报滞后，未实现危废即时产生、即时申报。所以导致申报数据不准确事情经常发生，同时由于没有有效的监管手段，无法核对企业是否按要求进行申报，无法核实企业申报数据真实性，导致监管部门无法真实掌握本区域内涉废数据。</w:t>
      </w:r>
    </w:p>
    <w:p>
      <w:pPr>
        <w:pStyle w:val="4"/>
      </w:pPr>
      <w:bookmarkStart w:id="21" w:name="_Toc97654035"/>
      <w:r>
        <w:t>不满足危废业务管理新需求</w:t>
      </w:r>
      <w:bookmarkEnd w:id="21"/>
    </w:p>
    <w:p>
      <w:pPr>
        <w:ind w:firstLine="560"/>
        <w:rPr>
          <w:sz w:val="28"/>
          <w:szCs w:val="28"/>
        </w:rPr>
      </w:pPr>
      <w:r>
        <w:rPr>
          <w:sz w:val="28"/>
          <w:szCs w:val="28"/>
        </w:rPr>
        <w:t>当前保定市危废监管主要依托于省平台的基于业务流的静态数据进行管理，无法随危废全生命周期环节的变化而实时更新，也无法实时跟踪危险废物的产生来源、转移方式、贮存状态、利用处置去向等，危险废物流向监管链条存在多处断裂，无法实时、有效提供风险防控预警与管理建议，仅通过静态数据难以印证数据之间的关联性，无法满足危废业务管理新需求，危险废物管理仍存在风险。</w:t>
      </w:r>
    </w:p>
    <w:p>
      <w:pPr>
        <w:pStyle w:val="4"/>
      </w:pPr>
      <w:bookmarkStart w:id="22" w:name="_Toc97654036"/>
      <w:r>
        <w:t>未能深入挖掘危废数据价值</w:t>
      </w:r>
      <w:bookmarkEnd w:id="22"/>
    </w:p>
    <w:p>
      <w:pPr>
        <w:ind w:firstLine="560"/>
        <w:rPr>
          <w:sz w:val="28"/>
          <w:szCs w:val="28"/>
        </w:rPr>
      </w:pPr>
      <w:r>
        <w:rPr>
          <w:sz w:val="28"/>
          <w:szCs w:val="28"/>
        </w:rPr>
        <w:t>当前系统中的信息填报主要依靠人工方式，未考虑与企业ERP数据、省级在线监控系统数据以及国家级数据之间的互联互通，系统相对孤立、数据来源单一、数据应用维度有限，未能充分发挥已有数据价值，难以压实属地监管责任和企业主体责任。</w:t>
      </w:r>
    </w:p>
    <w:p>
      <w:pPr>
        <w:pStyle w:val="4"/>
      </w:pPr>
      <w:bookmarkStart w:id="23" w:name="_Toc97654037"/>
      <w:r>
        <w:t>无法满足自身个性化管理需求</w:t>
      </w:r>
      <w:bookmarkEnd w:id="23"/>
    </w:p>
    <w:p>
      <w:pPr>
        <w:ind w:firstLine="560"/>
        <w:rPr>
          <w:sz w:val="28"/>
          <w:szCs w:val="28"/>
        </w:rPr>
      </w:pPr>
      <w:r>
        <w:rPr>
          <w:sz w:val="28"/>
          <w:szCs w:val="28"/>
        </w:rPr>
        <w:t>保定市使用省级固废平台，仅能通过市级权限进行查看，无法拿到详细的本市危险废物各环节数据，无法实现根据自身需求进行自定义预警、分析。</w:t>
      </w:r>
    </w:p>
    <w:p>
      <w:pPr>
        <w:pStyle w:val="3"/>
      </w:pPr>
      <w:bookmarkStart w:id="24" w:name="_Toc97654038"/>
      <w:r>
        <w:t>项目建设的意义和必要性</w:t>
      </w:r>
      <w:bookmarkEnd w:id="24"/>
    </w:p>
    <w:p>
      <w:pPr>
        <w:pStyle w:val="4"/>
      </w:pPr>
      <w:bookmarkStart w:id="25" w:name="_Toc97654039"/>
      <w:bookmarkStart w:id="26" w:name="_Toc81322728"/>
      <w:r>
        <w:t>是建立污染防治联防联控机制，坚决打好污染防治攻坚战的必由之路</w:t>
      </w:r>
      <w:bookmarkEnd w:id="25"/>
      <w:bookmarkEnd w:id="26"/>
    </w:p>
    <w:p>
      <w:pPr>
        <w:ind w:firstLine="560"/>
        <w:rPr>
          <w:sz w:val="28"/>
          <w:szCs w:val="28"/>
        </w:rPr>
      </w:pPr>
      <w:r>
        <w:rPr>
          <w:sz w:val="28"/>
          <w:szCs w:val="28"/>
        </w:rPr>
        <w:t>为防治固体废物污染环境，保障人体健康，维护生态安全，促进经济社会可持续发展，2020年修订通过了《中华人民共和国固体废物污染环境防治法》（中华人民共和国主席令第四十三号），提出：“建立全国危险废物等固体废物污染环境防治信息平台，推进固体废物收集、转移、处置等全过程监控和信息化追溯”、“根据危险废物的危害特性和产生数量，科学评估其环境风险，实施分级分类管理，建立信息化监管体系，并通过信息化手段管理、共享危险废物转移数据和信息”。为进一步加强危险废物污染防治工作，建立污染防治联防联控机制，切实提升污染防治环境监管能力和水平，河北省生态环境厅出台《河北省生态环境厅关于加快危险废物智能化环境监管平台建设的指导意见》（冀环规范〔2021〕1号），要求：“各市（含定州、辛集市）生态环境局、河北雄安新区管委会生态环境局基本完成市级危险废物智能化监管平台建设，或完成已有信息化平台升级改造，并与辖区内安装智能监控设备的涉危险废物企业联网运行”。</w:t>
      </w:r>
    </w:p>
    <w:p>
      <w:pPr>
        <w:spacing w:line="560" w:lineRule="exact"/>
        <w:ind w:firstLine="560"/>
        <w:rPr>
          <w:sz w:val="28"/>
          <w:szCs w:val="28"/>
        </w:rPr>
      </w:pPr>
      <w:r>
        <w:rPr>
          <w:sz w:val="28"/>
          <w:szCs w:val="28"/>
        </w:rPr>
        <w:t>通过保定市危险废物智能化环境监管平台建设，实现对危险废物产生、贮存、转移、利用处置全过程的管理，统一危险废物过程管理标准，强化危险废物全过程监管能力，建立污染防治联防联控长效机制，为打好污染防治攻坚战奠定坚实基础。</w:t>
      </w:r>
    </w:p>
    <w:p>
      <w:pPr>
        <w:pStyle w:val="4"/>
      </w:pPr>
      <w:bookmarkStart w:id="27" w:name="_Toc97654040"/>
      <w:bookmarkStart w:id="28" w:name="_Toc81322729"/>
      <w:r>
        <w:t>是全面摸排安全风险隐患，着力打造全链条安全风险管控体系的迫切需求</w:t>
      </w:r>
      <w:bookmarkEnd w:id="27"/>
      <w:bookmarkEnd w:id="28"/>
    </w:p>
    <w:p>
      <w:pPr>
        <w:ind w:firstLine="560"/>
        <w:rPr>
          <w:sz w:val="28"/>
          <w:szCs w:val="28"/>
        </w:rPr>
      </w:pPr>
      <w:r>
        <w:rPr>
          <w:sz w:val="28"/>
          <w:szCs w:val="28"/>
        </w:rPr>
        <w:t>深刻吸取一些地区发生的重特大事故教训，举一反三，全面加强危险化学品安全生产工作，有力防范化解系统性安全风险，坚决遏制重特大事故发生，中共中央、国务院印发了《关于全面加强危险化学品安全生产工作的意见》，《意见》指出：“全面开展废弃危险化学品等危险废物排查，确保危险废物贮存、运输、处置安全；推进化工园区安全生产信息化智能化平台建设，实现对园区内企业、重点场所、重大危险源、基础设施实时风险监控预警；大力推行‘互联网+监管’、‘执法+专家’模式，及时发现风险隐患，及早预警防范”。</w:t>
      </w:r>
    </w:p>
    <w:p>
      <w:pPr>
        <w:ind w:firstLine="560"/>
        <w:rPr>
          <w:sz w:val="28"/>
          <w:szCs w:val="28"/>
        </w:rPr>
      </w:pPr>
      <w:r>
        <w:rPr>
          <w:sz w:val="28"/>
          <w:szCs w:val="28"/>
        </w:rPr>
        <w:t>通过保定市危险废物智能化环境监管平台建设，摸清危险废物安全风险隐患，借助视频监控等手段，建立危险废物综合监控预警系统，构建全链条安全风险管控体系，及时进行安全风险评估和智能预警，有效遏制重特大安全事故的发生。</w:t>
      </w:r>
    </w:p>
    <w:p>
      <w:pPr>
        <w:pStyle w:val="4"/>
      </w:pPr>
      <w:bookmarkStart w:id="29" w:name="_Toc97654041"/>
      <w:bookmarkStart w:id="30" w:name="_Toc81322730"/>
      <w:r>
        <w:t>是推动信息资源共享共用，持续推进“互联网+监管”深度发展的有力抓手</w:t>
      </w:r>
      <w:bookmarkEnd w:id="29"/>
      <w:bookmarkEnd w:id="30"/>
    </w:p>
    <w:p>
      <w:pPr>
        <w:ind w:firstLine="560"/>
        <w:rPr>
          <w:sz w:val="28"/>
          <w:szCs w:val="28"/>
        </w:rPr>
      </w:pPr>
      <w:r>
        <w:rPr>
          <w:sz w:val="28"/>
          <w:szCs w:val="28"/>
        </w:rPr>
        <w:t>为加快推进生态环境信息化建设，加强危险废物管控与信息技术深度融合，全面支撑打好污染防治攻坚战，《2018—2020年环境信息化建设方案》提出：“加快建设危险废物收集运输处置全过程信息化监管体系，加强全国固体废物管理信息系统和全国废弃电器电子产品回收处理管理信息系统推广应用，初步建立有毒有害化学品危害特性基础数据库”。2021年5月11日国务院办公厅关于印发《强化危险废物监管和利用处置能力改革实施方案》的通知，文件提到：鼓励有条件的地区推行视频监控、电子标签等集成智能监控手段，实现对危险废物全过程跟踪管理，并与相关行政机关、司法机关实现互通共享。</w:t>
      </w:r>
    </w:p>
    <w:p>
      <w:pPr>
        <w:ind w:firstLine="560"/>
        <w:rPr>
          <w:sz w:val="28"/>
          <w:szCs w:val="28"/>
        </w:rPr>
      </w:pPr>
      <w:r>
        <w:rPr>
          <w:sz w:val="28"/>
          <w:szCs w:val="28"/>
        </w:rPr>
        <w:t>保定市危险废物智能化环境监管平台建设综合利用人工智能、大数据等新技术，对危险废物各环节进行全过程覆盖的信息化管理和监控，做到企业、监管部门、执法部门之间互联互通；同时，深化“放管服”改革，加强和规范事中事后监管，压实企业和管理部门的责任，在对涉及危险废物企业进行全覆盖监管基础上，实施分级分类动态严格监管，持续推进“互联网+监管”的深度发展。</w:t>
      </w:r>
    </w:p>
    <w:p>
      <w:pPr>
        <w:pStyle w:val="3"/>
      </w:pPr>
      <w:bookmarkStart w:id="31" w:name="_Toc97654042"/>
      <w:r>
        <w:t>项目建设的可行性</w:t>
      </w:r>
      <w:bookmarkEnd w:id="31"/>
    </w:p>
    <w:p>
      <w:pPr>
        <w:ind w:firstLine="560"/>
        <w:rPr>
          <w:sz w:val="28"/>
          <w:szCs w:val="28"/>
        </w:rPr>
      </w:pPr>
      <w:r>
        <w:rPr>
          <w:sz w:val="28"/>
          <w:szCs w:val="28"/>
        </w:rPr>
        <w:t>结合有关政策文件要求和保定市危废管理现状分析，当前存在危废智能化监管平台的建设需求，通过电子监控标识，采集危险废物产生、贮存、利用处置等危废全过程的精细化数据，与转移联单、经营台账等数据相互印证，实现危废全生命周期管理，辅助管理部门实施日常环境监管工作，项目具有较强可行性。</w:t>
      </w:r>
    </w:p>
    <w:p>
      <w:pPr>
        <w:pStyle w:val="125"/>
        <w:numPr>
          <w:ilvl w:val="0"/>
          <w:numId w:val="33"/>
        </w:numPr>
        <w:ind w:firstLineChars="0"/>
        <w:rPr>
          <w:sz w:val="28"/>
          <w:szCs w:val="28"/>
        </w:rPr>
      </w:pPr>
      <w:r>
        <w:rPr>
          <w:sz w:val="28"/>
          <w:szCs w:val="28"/>
        </w:rPr>
        <w:t>现有工作基础：</w:t>
      </w:r>
    </w:p>
    <w:p>
      <w:pPr>
        <w:ind w:firstLine="560"/>
        <w:rPr>
          <w:sz w:val="28"/>
          <w:szCs w:val="28"/>
        </w:rPr>
      </w:pPr>
      <w:r>
        <w:rPr>
          <w:sz w:val="28"/>
          <w:szCs w:val="28"/>
        </w:rPr>
        <w:t>一方面，保定市涉废企业在河北省固体废物动态信息平台上报相应数据，保定市已积累企业基本信息、企业贮存点信息、危险废物经营许可证、产废企业月报、危险废物转移联单、经营单位日报等大量业务数据。另一方面，保定市相关涉废企业的视频监控设施目前已初具规模，保定及河北其他地市已有企业安装物联网称重设备，从危废称重、标签打印、扫码出入库、危废签收等实现业务申报自动化。</w:t>
      </w:r>
    </w:p>
    <w:p>
      <w:pPr>
        <w:pStyle w:val="125"/>
        <w:numPr>
          <w:ilvl w:val="0"/>
          <w:numId w:val="33"/>
        </w:numPr>
        <w:ind w:firstLineChars="0"/>
        <w:rPr>
          <w:sz w:val="28"/>
          <w:szCs w:val="28"/>
        </w:rPr>
      </w:pPr>
      <w:r>
        <w:rPr>
          <w:sz w:val="28"/>
          <w:szCs w:val="28"/>
        </w:rPr>
        <w:t>支撑条件：</w:t>
      </w:r>
    </w:p>
    <w:p>
      <w:pPr>
        <w:spacing w:line="560" w:lineRule="exact"/>
        <w:ind w:firstLine="560"/>
        <w:rPr>
          <w:sz w:val="28"/>
          <w:szCs w:val="28"/>
        </w:rPr>
      </w:pPr>
      <w:r>
        <w:rPr>
          <w:sz w:val="28"/>
          <w:szCs w:val="28"/>
        </w:rPr>
        <w:t>政策支撑：从国家层面，《国务院办公厅关于印发强化危险废物监管和利用处置能力改革实施方案的通知》（国办函〔2021〕47号）提到“鼓励有条件的地区推行视频监控、电子标签等集成智能监控手段，实现对危险废物全过程跟踪管理”。《关于进一步推进危险废物环境管理信息化有关工作的通知（征求意见稿）》（环办便函〔2022〕23号）提到“市级以上生态环境部门可结合本地实际，应用智能视频监控、电子标签、智能磅秤等物联网技术手段，推动实现危险废物全过程信息化追溯。”从河北层面，河北省生态环境厅《关于加快危险废物智能化环境监管平台建设的指导意见》（冀环规范﹝2021﹞1号），要求各市2021年年底前基本完成市级危险废物智能化监管平台建设，或完成已有信息化平台升级改造，并与辖区内安装智能监控设备的涉危险废物企业联网运行。</w:t>
      </w:r>
    </w:p>
    <w:p>
      <w:pPr>
        <w:spacing w:line="560" w:lineRule="exact"/>
        <w:ind w:firstLine="560"/>
        <w:rPr>
          <w:sz w:val="28"/>
          <w:szCs w:val="28"/>
        </w:rPr>
      </w:pPr>
      <w:r>
        <w:rPr>
          <w:sz w:val="28"/>
          <w:szCs w:val="28"/>
        </w:rPr>
        <w:t>信息技术的支撑：保定市危险废物智能化环境监控平台是物联网技术、互联网应用与固废管理系统的结合，从而构建成系统的危险废物智能化环境管理平台。</w:t>
      </w:r>
    </w:p>
    <w:p>
      <w:pPr>
        <w:ind w:firstLine="560"/>
        <w:rPr>
          <w:sz w:val="28"/>
          <w:szCs w:val="28"/>
        </w:rPr>
      </w:pPr>
      <w:r>
        <w:rPr>
          <w:sz w:val="28"/>
          <w:szCs w:val="28"/>
        </w:rPr>
        <w:t>(3)技术手段成熟度</w:t>
      </w:r>
    </w:p>
    <w:p>
      <w:pPr>
        <w:ind w:firstLine="560"/>
        <w:rPr>
          <w:color w:val="FF0000"/>
          <w:sz w:val="28"/>
          <w:szCs w:val="36"/>
        </w:rPr>
      </w:pPr>
      <w:r>
        <w:rPr>
          <w:sz w:val="28"/>
          <w:szCs w:val="28"/>
        </w:rPr>
        <w:t>当前智能视频监控、电子标签、智能磅秤等物联网技术手段已在多省市应用，助力危险废物全过程追溯。河北省也在《关于印发全省危险废物智能监控体系数据联网规范的通知》（冀环办字函〔2018〕203号）明确了河北省危险废物视频接入、电子地磅接口、安装智能监控设备及现场改造指南，相关技术手段应用成熟。</w:t>
      </w:r>
    </w:p>
    <w:p>
      <w:pPr>
        <w:spacing w:line="560" w:lineRule="exact"/>
        <w:ind w:firstLine="560"/>
        <w:rPr>
          <w:sz w:val="28"/>
          <w:szCs w:val="28"/>
        </w:rPr>
      </w:pPr>
    </w:p>
    <w:p>
      <w:pPr>
        <w:pStyle w:val="2"/>
        <w:ind w:firstLine="643"/>
        <w:rPr>
          <w:sz w:val="28"/>
          <w:szCs w:val="28"/>
        </w:rPr>
      </w:pPr>
      <w:bookmarkStart w:id="32" w:name="_Toc97654043"/>
      <w:r>
        <w:rPr>
          <w:sz w:val="28"/>
          <w:szCs w:val="28"/>
        </w:rPr>
        <w:t>需求分析</w:t>
      </w:r>
      <w:bookmarkEnd w:id="32"/>
    </w:p>
    <w:p>
      <w:pPr>
        <w:pStyle w:val="3"/>
      </w:pPr>
      <w:bookmarkStart w:id="33" w:name="_Toc97654044"/>
      <w:r>
        <w:t>与政务职能相关的政务目标分析</w:t>
      </w:r>
      <w:bookmarkEnd w:id="33"/>
    </w:p>
    <w:p>
      <w:pPr>
        <w:spacing w:line="560" w:lineRule="exact"/>
        <w:ind w:firstLine="560"/>
        <w:rPr>
          <w:sz w:val="28"/>
          <w:szCs w:val="28"/>
        </w:rPr>
      </w:pPr>
      <w:r>
        <w:rPr>
          <w:sz w:val="28"/>
          <w:szCs w:val="28"/>
        </w:rPr>
        <w:t>政务目标：深刻学习和领会国家传递固体废物监管理念，围绕“信息化赋能固废监管”目标，全面运用物联网、智能分析技术手段强化固体废物产生、运输、处置全过程监管，扩大业务监管范畴、加大数据分析应用、深化风险智能识别，实现信息化作用从支撑保障业务到驱动引领业务的转变，有效提升我市固体废物智能化管理水平，降低固体废物环境风险事故，更好的保障国民经济的可持续发展。</w:t>
      </w:r>
    </w:p>
    <w:p>
      <w:pPr>
        <w:spacing w:line="560" w:lineRule="exact"/>
        <w:ind w:firstLine="560"/>
        <w:rPr>
          <w:sz w:val="28"/>
          <w:szCs w:val="28"/>
        </w:rPr>
      </w:pPr>
      <w:r>
        <w:rPr>
          <w:sz w:val="28"/>
          <w:szCs w:val="28"/>
        </w:rPr>
        <w:t>业务目标：通过本平台建设，将辖区内涉废企业的视频监控接入智能监管平台，建立集动态管理、业务流转、数据分析和预测预警等一体化的危险废物智能监控平台。为日常管理工作提供支持，自动发现各类弄虚作假现象，协助管理部门加大对危险废物产生、转移、处置、利用全过程监管力度，有效防控危险废物环境与安全风险。</w:t>
      </w:r>
    </w:p>
    <w:p>
      <w:pPr>
        <w:spacing w:line="560" w:lineRule="exact"/>
        <w:ind w:firstLine="560"/>
        <w:rPr>
          <w:sz w:val="28"/>
          <w:szCs w:val="28"/>
        </w:rPr>
      </w:pPr>
      <w:r>
        <w:rPr>
          <w:sz w:val="28"/>
          <w:szCs w:val="28"/>
        </w:rPr>
        <w:t>应用系统建设目标：应用物联网、智能视频等新兴技术，实现危险废物全生命数字化监管，实现源头可信、过程可溯。源头可信，借鉴现代物流技术，通过危废称重条码打印一体化等物联网设备，对危废产生、贮存、称重等关键行为数据自动化采集，保证申报源头数据的准确性。过程可溯，通过GPS、视频等技术，实现“智能押运”，跟踪危废转移全程，防范运输途中的倾倒风险。</w:t>
      </w:r>
    </w:p>
    <w:p>
      <w:pPr>
        <w:pStyle w:val="3"/>
      </w:pPr>
      <w:bookmarkStart w:id="34" w:name="_Toc97654045"/>
      <w:r>
        <w:t>建设模式分析</w:t>
      </w:r>
      <w:bookmarkEnd w:id="34"/>
    </w:p>
    <w:p>
      <w:pPr>
        <w:spacing w:line="560" w:lineRule="exact"/>
        <w:ind w:firstLine="560"/>
        <w:rPr>
          <w:sz w:val="28"/>
          <w:szCs w:val="28"/>
        </w:rPr>
      </w:pPr>
      <w:r>
        <w:rPr>
          <w:sz w:val="28"/>
          <w:szCs w:val="28"/>
        </w:rPr>
        <w:t>采用委托开发的方式，以招投标的形式确定第三方开发公司进行项目的建设。以标准规范体系为保障，软件应用平台为</w:t>
      </w:r>
      <w:bookmarkStart w:id="35" w:name="_Toc62044923"/>
      <w:bookmarkStart w:id="36" w:name="_Toc25605"/>
      <w:r>
        <w:rPr>
          <w:sz w:val="28"/>
          <w:szCs w:val="28"/>
        </w:rPr>
        <w:t>数据支撑平台</w:t>
      </w:r>
      <w:bookmarkEnd w:id="35"/>
      <w:bookmarkEnd w:id="36"/>
      <w:r>
        <w:rPr>
          <w:sz w:val="28"/>
          <w:szCs w:val="28"/>
        </w:rPr>
        <w:t>、</w:t>
      </w:r>
      <w:bookmarkStart w:id="37" w:name="_Toc32248"/>
      <w:bookmarkStart w:id="38" w:name="_Toc62044928"/>
      <w:r>
        <w:rPr>
          <w:sz w:val="28"/>
          <w:szCs w:val="28"/>
        </w:rPr>
        <w:t>危废全生命周期监</w:t>
      </w:r>
      <w:bookmarkEnd w:id="37"/>
      <w:bookmarkEnd w:id="38"/>
      <w:r>
        <w:rPr>
          <w:sz w:val="28"/>
          <w:szCs w:val="28"/>
        </w:rPr>
        <w:t>管、移动端APP、数据对接、视频数据采集。</w:t>
      </w:r>
    </w:p>
    <w:p>
      <w:pPr>
        <w:pStyle w:val="3"/>
      </w:pPr>
      <w:bookmarkStart w:id="39" w:name="_Toc97654046"/>
      <w:r>
        <w:t>业务功能、业务流程和业务量分析</w:t>
      </w:r>
      <w:bookmarkEnd w:id="39"/>
    </w:p>
    <w:p>
      <w:pPr>
        <w:spacing w:line="560" w:lineRule="exact"/>
        <w:ind w:firstLine="560"/>
        <w:rPr>
          <w:sz w:val="28"/>
          <w:szCs w:val="28"/>
        </w:rPr>
      </w:pPr>
      <w:r>
        <w:rPr>
          <w:sz w:val="28"/>
          <w:szCs w:val="28"/>
        </w:rPr>
        <w:drawing>
          <wp:anchor distT="0" distB="0" distL="114300" distR="114300" simplePos="0" relativeHeight="251660288" behindDoc="0" locked="0" layoutInCell="1" allowOverlap="1">
            <wp:simplePos x="0" y="0"/>
            <wp:positionH relativeFrom="margin">
              <wp:posOffset>-78740</wp:posOffset>
            </wp:positionH>
            <wp:positionV relativeFrom="margin">
              <wp:posOffset>1172845</wp:posOffset>
            </wp:positionV>
            <wp:extent cx="5809615" cy="3759835"/>
            <wp:effectExtent l="0" t="0" r="635" b="0"/>
            <wp:wrapSquare wrapText="bothSides"/>
            <wp:docPr id="4" name="图片 4" descr="C:\Users\zyf\Desktop\业务流转流程图--固废监管、环境信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yf\Desktop\业务流转流程图--固废监管、环境信访.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09615" cy="3759835"/>
                    </a:xfrm>
                    <a:prstGeom prst="rect">
                      <a:avLst/>
                    </a:prstGeom>
                    <a:noFill/>
                    <a:ln>
                      <a:noFill/>
                    </a:ln>
                  </pic:spPr>
                </pic:pic>
              </a:graphicData>
            </a:graphic>
          </wp:anchor>
        </w:drawing>
      </w:r>
      <w:r>
        <w:rPr>
          <w:sz w:val="28"/>
          <w:szCs w:val="28"/>
        </w:rPr>
        <w:t>从信息化建设和管理的角度出发，可将固体废物日常管理业务流转过程如下图所示：</w:t>
      </w:r>
    </w:p>
    <w:p>
      <w:pPr>
        <w:ind w:firstLine="560"/>
        <w:rPr>
          <w:sz w:val="28"/>
          <w:szCs w:val="28"/>
        </w:rPr>
      </w:pPr>
    </w:p>
    <w:p>
      <w:pPr>
        <w:pStyle w:val="3"/>
      </w:pPr>
      <w:bookmarkStart w:id="40" w:name="_Toc97654047"/>
      <w:r>
        <w:t>信息资源需求分析</w:t>
      </w:r>
      <w:bookmarkEnd w:id="40"/>
    </w:p>
    <w:p>
      <w:pPr>
        <w:spacing w:line="560" w:lineRule="exact"/>
        <w:ind w:firstLine="560"/>
        <w:rPr>
          <w:sz w:val="28"/>
          <w:szCs w:val="28"/>
        </w:rPr>
      </w:pPr>
      <w:r>
        <w:rPr>
          <w:sz w:val="28"/>
          <w:szCs w:val="28"/>
        </w:rPr>
        <w:t>依托数据共享服务接口与河北省固体废物动态信息监控平台和</w:t>
      </w:r>
      <w:r>
        <w:rPr>
          <w:color w:val="000000"/>
          <w:kern w:val="0"/>
          <w:sz w:val="28"/>
          <w:szCs w:val="28"/>
        </w:rPr>
        <w:t>交管部门危废运输车辆信息</w:t>
      </w:r>
      <w:r>
        <w:rPr>
          <w:sz w:val="28"/>
          <w:szCs w:val="28"/>
        </w:rPr>
        <w:t>进行对接共享，企业端仍然在省级平台上报相应数据，开发保定市危险废物智能化环境监管平台，省级系统将保定市危废数据回流到本平台中，提供涉保定市企业基本信息、企业贮存点信息、危险废物经营许可证、产废企业月报、危险废物转移联单、运输车辆GPS信息、经营单位日报等。</w:t>
      </w:r>
    </w:p>
    <w:p>
      <w:pPr>
        <w:pStyle w:val="3"/>
      </w:pPr>
      <w:bookmarkStart w:id="41" w:name="_Toc97654048"/>
      <w:r>
        <w:t>信息量估算</w:t>
      </w:r>
      <w:bookmarkEnd w:id="41"/>
    </w:p>
    <w:p>
      <w:pPr>
        <w:spacing w:line="360" w:lineRule="auto"/>
        <w:ind w:firstLine="565" w:firstLineChars="202"/>
        <w:rPr>
          <w:sz w:val="28"/>
          <w:szCs w:val="28"/>
        </w:rPr>
      </w:pPr>
      <w:r>
        <w:rPr>
          <w:rFonts w:hint="eastAsia"/>
          <w:sz w:val="28"/>
          <w:szCs w:val="28"/>
        </w:rPr>
        <w:t>目前保定涉废企业数量</w:t>
      </w:r>
      <w:r>
        <w:rPr>
          <w:sz w:val="28"/>
          <w:szCs w:val="28"/>
        </w:rPr>
        <w:t>3500</w:t>
      </w:r>
      <w:r>
        <w:rPr>
          <w:rFonts w:hint="eastAsia"/>
          <w:sz w:val="28"/>
          <w:szCs w:val="28"/>
        </w:rPr>
        <w:t>家左右，随着危废行业规模增长，</w:t>
      </w:r>
      <w:r>
        <w:rPr>
          <w:sz w:val="28"/>
          <w:szCs w:val="28"/>
        </w:rPr>
        <w:t>本系统建设建成后，</w:t>
      </w:r>
      <w:r>
        <w:rPr>
          <w:rFonts w:hint="eastAsia"/>
          <w:sz w:val="28"/>
          <w:szCs w:val="28"/>
        </w:rPr>
        <w:t>按照</w:t>
      </w:r>
      <w:r>
        <w:rPr>
          <w:sz w:val="28"/>
          <w:szCs w:val="28"/>
        </w:rPr>
        <w:t>每年递增20%进行预估，一年内用户数量预计达到4200家左右</w:t>
      </w:r>
      <w:r>
        <w:rPr>
          <w:rFonts w:hint="eastAsia"/>
          <w:sz w:val="28"/>
          <w:szCs w:val="28"/>
        </w:rPr>
        <w:t>。</w:t>
      </w:r>
    </w:p>
    <w:p>
      <w:pPr>
        <w:spacing w:line="360" w:lineRule="auto"/>
        <w:ind w:firstLine="565" w:firstLineChars="202"/>
        <w:rPr>
          <w:sz w:val="28"/>
          <w:szCs w:val="28"/>
        </w:rPr>
      </w:pPr>
      <w:bookmarkStart w:id="42" w:name="_Toc58711302"/>
      <w:r>
        <w:rPr>
          <w:rFonts w:hint="eastAsia"/>
          <w:sz w:val="28"/>
          <w:szCs w:val="28"/>
        </w:rPr>
        <w:t>（一）</w:t>
      </w:r>
      <w:bookmarkEnd w:id="42"/>
      <w:r>
        <w:rPr>
          <w:rFonts w:hint="eastAsia"/>
          <w:sz w:val="28"/>
          <w:szCs w:val="28"/>
        </w:rPr>
        <w:t>企业档案数据</w:t>
      </w:r>
    </w:p>
    <w:p>
      <w:pPr>
        <w:spacing w:line="360" w:lineRule="auto"/>
        <w:ind w:firstLine="565" w:firstLineChars="202"/>
        <w:rPr>
          <w:sz w:val="28"/>
          <w:szCs w:val="28"/>
        </w:rPr>
      </w:pPr>
      <w:r>
        <w:rPr>
          <w:rFonts w:hint="eastAsia"/>
          <w:sz w:val="28"/>
          <w:szCs w:val="28"/>
        </w:rPr>
        <w:t>将全市</w:t>
      </w:r>
      <w:r>
        <w:rPr>
          <w:sz w:val="28"/>
          <w:szCs w:val="28"/>
        </w:rPr>
        <w:t>4200</w:t>
      </w:r>
      <w:r>
        <w:rPr>
          <w:rFonts w:hint="eastAsia"/>
          <w:sz w:val="28"/>
          <w:szCs w:val="28"/>
        </w:rPr>
        <w:t>家涉废企业纳入系统，预计每家产生</w:t>
      </w:r>
      <w:r>
        <w:rPr>
          <w:sz w:val="28"/>
          <w:szCs w:val="28"/>
        </w:rPr>
        <w:t>10M</w:t>
      </w:r>
      <w:r>
        <w:rPr>
          <w:rFonts w:hint="eastAsia"/>
          <w:sz w:val="28"/>
          <w:szCs w:val="28"/>
        </w:rPr>
        <w:t>档案数据及数据交换共享数据，则一年约产生</w:t>
      </w:r>
      <w:r>
        <w:rPr>
          <w:sz w:val="28"/>
          <w:szCs w:val="28"/>
        </w:rPr>
        <w:t>10*4200/1024=41.02G</w:t>
      </w:r>
      <w:r>
        <w:rPr>
          <w:rFonts w:hint="eastAsia"/>
          <w:sz w:val="28"/>
          <w:szCs w:val="28"/>
        </w:rPr>
        <w:t>数据量，其中非结构化数据约为4</w:t>
      </w:r>
      <w:r>
        <w:rPr>
          <w:sz w:val="28"/>
          <w:szCs w:val="28"/>
        </w:rPr>
        <w:t>1.02</w:t>
      </w:r>
      <w:r>
        <w:rPr>
          <w:rFonts w:hint="eastAsia"/>
          <w:sz w:val="28"/>
          <w:szCs w:val="28"/>
        </w:rPr>
        <w:t>*</w:t>
      </w:r>
      <w:r>
        <w:rPr>
          <w:sz w:val="28"/>
          <w:szCs w:val="28"/>
        </w:rPr>
        <w:t>0.9</w:t>
      </w:r>
      <w:r>
        <w:rPr>
          <w:rFonts w:hint="eastAsia"/>
          <w:sz w:val="28"/>
          <w:szCs w:val="28"/>
        </w:rPr>
        <w:t>=</w:t>
      </w:r>
      <w:r>
        <w:rPr>
          <w:sz w:val="28"/>
          <w:szCs w:val="28"/>
        </w:rPr>
        <w:t>36.92G</w:t>
      </w:r>
      <w:r>
        <w:rPr>
          <w:rFonts w:hint="eastAsia"/>
          <w:sz w:val="28"/>
          <w:szCs w:val="28"/>
        </w:rPr>
        <w:t>，结构化数据约为4</w:t>
      </w:r>
      <w:r>
        <w:rPr>
          <w:sz w:val="28"/>
          <w:szCs w:val="28"/>
        </w:rPr>
        <w:t>1.02</w:t>
      </w:r>
      <w:r>
        <w:rPr>
          <w:rFonts w:hint="eastAsia"/>
          <w:sz w:val="28"/>
          <w:szCs w:val="28"/>
        </w:rPr>
        <w:t>*</w:t>
      </w:r>
      <w:r>
        <w:rPr>
          <w:sz w:val="28"/>
          <w:szCs w:val="28"/>
        </w:rPr>
        <w:t>0.1</w:t>
      </w:r>
      <w:r>
        <w:rPr>
          <w:rFonts w:hint="eastAsia"/>
          <w:sz w:val="28"/>
          <w:szCs w:val="28"/>
        </w:rPr>
        <w:t>=</w:t>
      </w:r>
      <w:r>
        <w:rPr>
          <w:sz w:val="28"/>
          <w:szCs w:val="28"/>
        </w:rPr>
        <w:t>4.1G</w:t>
      </w:r>
      <w:r>
        <w:rPr>
          <w:rFonts w:hint="eastAsia"/>
          <w:sz w:val="28"/>
          <w:szCs w:val="28"/>
        </w:rPr>
        <w:t>。</w:t>
      </w:r>
    </w:p>
    <w:p>
      <w:pPr>
        <w:spacing w:line="360" w:lineRule="auto"/>
        <w:ind w:firstLine="565" w:firstLineChars="202"/>
        <w:rPr>
          <w:sz w:val="28"/>
          <w:szCs w:val="28"/>
        </w:rPr>
      </w:pPr>
      <w:bookmarkStart w:id="43" w:name="_Toc58711303"/>
      <w:r>
        <w:rPr>
          <w:rFonts w:hint="eastAsia"/>
          <w:sz w:val="28"/>
          <w:szCs w:val="28"/>
        </w:rPr>
        <w:t>（二）全过程管理</w:t>
      </w:r>
      <w:bookmarkEnd w:id="43"/>
      <w:r>
        <w:rPr>
          <w:rFonts w:hint="eastAsia"/>
          <w:sz w:val="28"/>
          <w:szCs w:val="28"/>
        </w:rPr>
        <w:t>数据</w:t>
      </w:r>
    </w:p>
    <w:p>
      <w:pPr>
        <w:spacing w:line="360" w:lineRule="auto"/>
        <w:ind w:firstLine="565" w:firstLineChars="202"/>
        <w:rPr>
          <w:sz w:val="28"/>
          <w:szCs w:val="28"/>
        </w:rPr>
      </w:pPr>
      <w:r>
        <w:rPr>
          <w:rFonts w:hint="eastAsia"/>
          <w:sz w:val="28"/>
          <w:szCs w:val="28"/>
        </w:rPr>
        <w:t>全过程管理业务数据量由以下内容产生：</w:t>
      </w:r>
    </w:p>
    <w:p>
      <w:pPr>
        <w:spacing w:line="360" w:lineRule="auto"/>
        <w:ind w:firstLine="565" w:firstLineChars="202"/>
        <w:rPr>
          <w:sz w:val="28"/>
          <w:szCs w:val="28"/>
        </w:rPr>
      </w:pPr>
      <w:r>
        <w:rPr>
          <w:sz w:val="28"/>
          <w:szCs w:val="28"/>
        </w:rPr>
        <w:t>1.</w:t>
      </w:r>
      <w:r>
        <w:rPr>
          <w:rFonts w:hint="eastAsia"/>
          <w:sz w:val="28"/>
          <w:szCs w:val="28"/>
        </w:rPr>
        <w:t>危险废物电子监管码</w:t>
      </w:r>
    </w:p>
    <w:p>
      <w:pPr>
        <w:spacing w:line="360" w:lineRule="auto"/>
        <w:ind w:firstLine="565" w:firstLineChars="202"/>
        <w:rPr>
          <w:sz w:val="28"/>
          <w:szCs w:val="28"/>
        </w:rPr>
      </w:pPr>
      <w:r>
        <w:rPr>
          <w:rFonts w:hint="eastAsia"/>
          <w:sz w:val="28"/>
          <w:szCs w:val="28"/>
        </w:rPr>
        <w:t>每年产生危废跟踪记录约</w:t>
      </w:r>
      <w:r>
        <w:rPr>
          <w:sz w:val="28"/>
          <w:szCs w:val="28"/>
        </w:rPr>
        <w:t>100</w:t>
      </w:r>
      <w:r>
        <w:rPr>
          <w:rFonts w:hint="eastAsia"/>
          <w:sz w:val="28"/>
          <w:szCs w:val="28"/>
        </w:rPr>
        <w:t>万条，每条记录生成结构化数据约</w:t>
      </w:r>
      <w:r>
        <w:rPr>
          <w:sz w:val="28"/>
          <w:szCs w:val="28"/>
        </w:rPr>
        <w:t>50K</w:t>
      </w:r>
      <w:r>
        <w:rPr>
          <w:rFonts w:hint="eastAsia"/>
          <w:sz w:val="28"/>
          <w:szCs w:val="28"/>
        </w:rPr>
        <w:t>。则一年危险废物电子监管码约产生</w:t>
      </w:r>
      <w:r>
        <w:rPr>
          <w:sz w:val="28"/>
          <w:szCs w:val="28"/>
        </w:rPr>
        <w:t>50*1000000/1024/1024=47.68G</w:t>
      </w:r>
      <w:r>
        <w:rPr>
          <w:rFonts w:hint="eastAsia"/>
          <w:sz w:val="28"/>
          <w:szCs w:val="28"/>
        </w:rPr>
        <w:t>数据量。</w:t>
      </w:r>
    </w:p>
    <w:p>
      <w:pPr>
        <w:spacing w:line="360" w:lineRule="auto"/>
        <w:ind w:firstLine="565" w:firstLineChars="202"/>
        <w:rPr>
          <w:sz w:val="28"/>
          <w:szCs w:val="28"/>
        </w:rPr>
      </w:pPr>
      <w:r>
        <w:rPr>
          <w:sz w:val="28"/>
          <w:szCs w:val="28"/>
        </w:rPr>
        <w:t>2.</w:t>
      </w:r>
      <w:r>
        <w:rPr>
          <w:rFonts w:hint="eastAsia"/>
          <w:sz w:val="28"/>
          <w:szCs w:val="28"/>
        </w:rPr>
        <w:t>备案管理</w:t>
      </w:r>
    </w:p>
    <w:p>
      <w:pPr>
        <w:spacing w:line="360" w:lineRule="auto"/>
        <w:ind w:firstLine="565" w:firstLineChars="202"/>
        <w:rPr>
          <w:sz w:val="28"/>
          <w:szCs w:val="28"/>
        </w:rPr>
      </w:pPr>
      <w:r>
        <w:rPr>
          <w:rFonts w:hint="eastAsia"/>
          <w:sz w:val="28"/>
          <w:szCs w:val="28"/>
        </w:rPr>
        <w:t>每年产生备案管理记录约</w:t>
      </w:r>
      <w:r>
        <w:rPr>
          <w:sz w:val="28"/>
          <w:szCs w:val="28"/>
        </w:rPr>
        <w:t>2</w:t>
      </w:r>
      <w:r>
        <w:rPr>
          <w:rFonts w:hint="eastAsia"/>
          <w:sz w:val="28"/>
          <w:szCs w:val="28"/>
        </w:rPr>
        <w:t>万条，每条记录生成结构化数据约</w:t>
      </w:r>
      <w:r>
        <w:rPr>
          <w:sz w:val="28"/>
          <w:szCs w:val="28"/>
        </w:rPr>
        <w:t>50K</w:t>
      </w:r>
      <w:r>
        <w:rPr>
          <w:rFonts w:hint="eastAsia"/>
          <w:sz w:val="28"/>
          <w:szCs w:val="28"/>
        </w:rPr>
        <w:t>，非结构化数据约</w:t>
      </w:r>
      <w:r>
        <w:rPr>
          <w:sz w:val="28"/>
          <w:szCs w:val="28"/>
        </w:rPr>
        <w:t>1024K</w:t>
      </w:r>
      <w:r>
        <w:rPr>
          <w:rFonts w:hint="eastAsia"/>
          <w:sz w:val="28"/>
          <w:szCs w:val="28"/>
        </w:rPr>
        <w:t>。则一年备案管理约产生（</w:t>
      </w:r>
      <w:r>
        <w:rPr>
          <w:sz w:val="28"/>
          <w:szCs w:val="28"/>
        </w:rPr>
        <w:t>50+1024</w:t>
      </w:r>
      <w:r>
        <w:rPr>
          <w:rFonts w:hint="eastAsia"/>
          <w:sz w:val="28"/>
          <w:szCs w:val="28"/>
        </w:rPr>
        <w:t>）</w:t>
      </w:r>
      <w:r>
        <w:rPr>
          <w:sz w:val="28"/>
          <w:szCs w:val="28"/>
        </w:rPr>
        <w:t>*20000/1024/1024=20.48G</w:t>
      </w:r>
      <w:r>
        <w:rPr>
          <w:rFonts w:hint="eastAsia"/>
          <w:sz w:val="28"/>
          <w:szCs w:val="28"/>
        </w:rPr>
        <w:t>数据量。</w:t>
      </w:r>
    </w:p>
    <w:p>
      <w:pPr>
        <w:spacing w:line="360" w:lineRule="auto"/>
        <w:ind w:firstLine="565" w:firstLineChars="202"/>
        <w:rPr>
          <w:sz w:val="28"/>
          <w:szCs w:val="28"/>
        </w:rPr>
      </w:pPr>
      <w:r>
        <w:rPr>
          <w:sz w:val="28"/>
          <w:szCs w:val="28"/>
        </w:rPr>
        <w:t>3.</w:t>
      </w:r>
      <w:r>
        <w:rPr>
          <w:rFonts w:hint="eastAsia"/>
          <w:sz w:val="28"/>
          <w:szCs w:val="28"/>
        </w:rPr>
        <w:t>申报管理</w:t>
      </w:r>
    </w:p>
    <w:p>
      <w:pPr>
        <w:spacing w:line="360" w:lineRule="auto"/>
        <w:ind w:firstLine="565" w:firstLineChars="202"/>
        <w:rPr>
          <w:sz w:val="28"/>
          <w:szCs w:val="28"/>
        </w:rPr>
      </w:pPr>
      <w:r>
        <w:rPr>
          <w:rFonts w:hint="eastAsia"/>
          <w:sz w:val="28"/>
          <w:szCs w:val="28"/>
        </w:rPr>
        <w:t>每年产生申报管理记录约6</w:t>
      </w:r>
      <w:r>
        <w:rPr>
          <w:sz w:val="28"/>
          <w:szCs w:val="28"/>
        </w:rPr>
        <w:t>.6</w:t>
      </w:r>
      <w:r>
        <w:rPr>
          <w:rFonts w:hint="eastAsia"/>
          <w:sz w:val="28"/>
          <w:szCs w:val="28"/>
        </w:rPr>
        <w:t>万条，每条记录生成结构化数据约</w:t>
      </w:r>
      <w:r>
        <w:rPr>
          <w:sz w:val="28"/>
          <w:szCs w:val="28"/>
        </w:rPr>
        <w:t>5K</w:t>
      </w:r>
      <w:r>
        <w:rPr>
          <w:rFonts w:hint="eastAsia"/>
          <w:sz w:val="28"/>
          <w:szCs w:val="28"/>
        </w:rPr>
        <w:t>。则一年申报管理约产生</w:t>
      </w:r>
      <w:r>
        <w:rPr>
          <w:sz w:val="28"/>
          <w:szCs w:val="28"/>
        </w:rPr>
        <w:t>5*66000/1024/1024=0.31G</w:t>
      </w:r>
      <w:r>
        <w:rPr>
          <w:rFonts w:hint="eastAsia"/>
          <w:sz w:val="28"/>
          <w:szCs w:val="28"/>
        </w:rPr>
        <w:t>数据量。</w:t>
      </w:r>
    </w:p>
    <w:p>
      <w:pPr>
        <w:spacing w:line="360" w:lineRule="auto"/>
        <w:ind w:firstLine="565" w:firstLineChars="202"/>
        <w:rPr>
          <w:sz w:val="28"/>
          <w:szCs w:val="28"/>
        </w:rPr>
      </w:pPr>
      <w:r>
        <w:rPr>
          <w:sz w:val="28"/>
          <w:szCs w:val="28"/>
        </w:rPr>
        <w:t>4.</w:t>
      </w:r>
      <w:r>
        <w:rPr>
          <w:rFonts w:hint="eastAsia"/>
          <w:sz w:val="28"/>
          <w:szCs w:val="28"/>
        </w:rPr>
        <w:t>转移管理</w:t>
      </w:r>
    </w:p>
    <w:p>
      <w:pPr>
        <w:spacing w:line="360" w:lineRule="auto"/>
        <w:ind w:firstLine="565" w:firstLineChars="202"/>
        <w:rPr>
          <w:sz w:val="28"/>
          <w:szCs w:val="28"/>
        </w:rPr>
      </w:pPr>
      <w:r>
        <w:rPr>
          <w:rFonts w:hint="eastAsia"/>
          <w:sz w:val="28"/>
          <w:szCs w:val="28"/>
        </w:rPr>
        <w:t>每年产生转移联单记录约9</w:t>
      </w:r>
      <w:r>
        <w:rPr>
          <w:sz w:val="28"/>
          <w:szCs w:val="28"/>
        </w:rPr>
        <w:t>.2</w:t>
      </w:r>
      <w:r>
        <w:rPr>
          <w:rFonts w:hint="eastAsia"/>
          <w:sz w:val="28"/>
          <w:szCs w:val="28"/>
        </w:rPr>
        <w:t>万条，每条记录生成结构化数据约</w:t>
      </w:r>
      <w:r>
        <w:rPr>
          <w:sz w:val="28"/>
          <w:szCs w:val="28"/>
        </w:rPr>
        <w:t>3K</w:t>
      </w:r>
      <w:r>
        <w:rPr>
          <w:rFonts w:hint="eastAsia"/>
          <w:sz w:val="28"/>
          <w:szCs w:val="28"/>
        </w:rPr>
        <w:t>。则转移联单一年约产生</w:t>
      </w:r>
      <w:r>
        <w:rPr>
          <w:sz w:val="28"/>
          <w:szCs w:val="28"/>
        </w:rPr>
        <w:t>3*92000/1024/1024=0.26G</w:t>
      </w:r>
      <w:r>
        <w:rPr>
          <w:rFonts w:hint="eastAsia"/>
          <w:sz w:val="28"/>
          <w:szCs w:val="28"/>
        </w:rPr>
        <w:t>数据量。根据《危险废物转移环境办法》要求：“危险废物转移电子联单数据（包括转移信息台账记录）应在信息系统中至少保留</w:t>
      </w:r>
      <w:r>
        <w:rPr>
          <w:sz w:val="28"/>
          <w:szCs w:val="28"/>
        </w:rPr>
        <w:t>30</w:t>
      </w:r>
      <w:r>
        <w:rPr>
          <w:rFonts w:hint="eastAsia"/>
          <w:sz w:val="28"/>
          <w:szCs w:val="28"/>
        </w:rPr>
        <w:t>年”。</w:t>
      </w:r>
    </w:p>
    <w:p>
      <w:pPr>
        <w:spacing w:line="360" w:lineRule="auto"/>
        <w:ind w:firstLine="565" w:firstLineChars="202"/>
        <w:rPr>
          <w:sz w:val="28"/>
          <w:szCs w:val="28"/>
        </w:rPr>
      </w:pPr>
      <w:r>
        <w:rPr>
          <w:sz w:val="28"/>
          <w:szCs w:val="28"/>
        </w:rPr>
        <w:t>5.</w:t>
      </w:r>
      <w:r>
        <w:rPr>
          <w:rFonts w:hint="eastAsia"/>
          <w:sz w:val="28"/>
          <w:szCs w:val="28"/>
        </w:rPr>
        <w:t>豁免管理</w:t>
      </w:r>
    </w:p>
    <w:p>
      <w:pPr>
        <w:spacing w:line="360" w:lineRule="auto"/>
        <w:ind w:firstLine="565" w:firstLineChars="202"/>
        <w:rPr>
          <w:sz w:val="28"/>
          <w:szCs w:val="28"/>
        </w:rPr>
      </w:pPr>
      <w:r>
        <w:rPr>
          <w:rFonts w:hint="eastAsia"/>
          <w:sz w:val="28"/>
          <w:szCs w:val="28"/>
        </w:rPr>
        <w:t>每年产生豁免管理记录约</w:t>
      </w:r>
      <w:r>
        <w:rPr>
          <w:sz w:val="28"/>
          <w:szCs w:val="28"/>
        </w:rPr>
        <w:t>0.9</w:t>
      </w:r>
      <w:r>
        <w:rPr>
          <w:rFonts w:hint="eastAsia"/>
          <w:sz w:val="28"/>
          <w:szCs w:val="28"/>
        </w:rPr>
        <w:t>万条，每条记录生成结构化数据约</w:t>
      </w:r>
      <w:r>
        <w:rPr>
          <w:sz w:val="28"/>
          <w:szCs w:val="28"/>
        </w:rPr>
        <w:t>3K</w:t>
      </w:r>
      <w:r>
        <w:rPr>
          <w:rFonts w:hint="eastAsia"/>
          <w:sz w:val="28"/>
          <w:szCs w:val="28"/>
        </w:rPr>
        <w:t>。则豁免管理约产生</w:t>
      </w:r>
      <w:r>
        <w:rPr>
          <w:sz w:val="28"/>
          <w:szCs w:val="28"/>
        </w:rPr>
        <w:t>3*9000/1024=26.4M</w:t>
      </w:r>
      <w:r>
        <w:rPr>
          <w:rFonts w:hint="eastAsia"/>
          <w:sz w:val="28"/>
          <w:szCs w:val="28"/>
        </w:rPr>
        <w:t>数据量。</w:t>
      </w:r>
    </w:p>
    <w:p>
      <w:pPr>
        <w:spacing w:line="360" w:lineRule="auto"/>
        <w:ind w:firstLine="565" w:firstLineChars="202"/>
        <w:rPr>
          <w:sz w:val="28"/>
          <w:szCs w:val="28"/>
        </w:rPr>
      </w:pPr>
      <w:r>
        <w:rPr>
          <w:sz w:val="28"/>
          <w:szCs w:val="28"/>
        </w:rPr>
        <w:t>6.</w:t>
      </w:r>
      <w:r>
        <w:rPr>
          <w:rFonts w:hint="eastAsia"/>
          <w:sz w:val="28"/>
          <w:szCs w:val="28"/>
        </w:rPr>
        <w:t>行政代处置</w:t>
      </w:r>
    </w:p>
    <w:p>
      <w:pPr>
        <w:spacing w:line="360" w:lineRule="auto"/>
        <w:ind w:firstLine="565" w:firstLineChars="202"/>
        <w:rPr>
          <w:sz w:val="28"/>
          <w:szCs w:val="28"/>
        </w:rPr>
      </w:pPr>
      <w:r>
        <w:rPr>
          <w:rFonts w:hint="eastAsia"/>
          <w:sz w:val="28"/>
          <w:szCs w:val="28"/>
        </w:rPr>
        <w:t>每年产生行政代处置记录约</w:t>
      </w:r>
      <w:r>
        <w:rPr>
          <w:sz w:val="28"/>
          <w:szCs w:val="28"/>
        </w:rPr>
        <w:t>0.1</w:t>
      </w:r>
      <w:r>
        <w:rPr>
          <w:rFonts w:hint="eastAsia"/>
          <w:sz w:val="28"/>
          <w:szCs w:val="28"/>
        </w:rPr>
        <w:t>万条，每条记录生成结构化数据约</w:t>
      </w:r>
      <w:r>
        <w:rPr>
          <w:sz w:val="28"/>
          <w:szCs w:val="28"/>
        </w:rPr>
        <w:t>3K</w:t>
      </w:r>
      <w:r>
        <w:rPr>
          <w:rFonts w:hint="eastAsia"/>
          <w:sz w:val="28"/>
          <w:szCs w:val="28"/>
        </w:rPr>
        <w:t>。则行政代处置约产生</w:t>
      </w:r>
      <w:r>
        <w:rPr>
          <w:sz w:val="28"/>
          <w:szCs w:val="28"/>
        </w:rPr>
        <w:t>3*1000/1024=2.9M</w:t>
      </w:r>
      <w:r>
        <w:rPr>
          <w:rFonts w:hint="eastAsia"/>
          <w:sz w:val="28"/>
          <w:szCs w:val="28"/>
        </w:rPr>
        <w:t>数据量。</w:t>
      </w:r>
    </w:p>
    <w:p>
      <w:pPr>
        <w:wordWrap w:val="0"/>
        <w:spacing w:line="360" w:lineRule="auto"/>
        <w:ind w:firstLine="565" w:firstLineChars="202"/>
        <w:rPr>
          <w:sz w:val="28"/>
          <w:szCs w:val="28"/>
        </w:rPr>
      </w:pPr>
      <w:r>
        <w:rPr>
          <w:rFonts w:hint="eastAsia"/>
          <w:sz w:val="28"/>
          <w:szCs w:val="28"/>
        </w:rPr>
        <w:t>全过程管理模块数据量合计为</w:t>
      </w:r>
      <w:r>
        <w:rPr>
          <w:sz w:val="28"/>
          <w:szCs w:val="28"/>
        </w:rPr>
        <w:t>47.68G+20.48G+0.31G+0.26G+26.4M+2.9M=68.76G</w:t>
      </w:r>
      <w:r>
        <w:rPr>
          <w:rFonts w:hint="eastAsia"/>
          <w:sz w:val="28"/>
          <w:szCs w:val="28"/>
        </w:rPr>
        <w:t>。</w:t>
      </w:r>
    </w:p>
    <w:p>
      <w:pPr>
        <w:spacing w:line="360" w:lineRule="auto"/>
        <w:ind w:firstLine="565" w:firstLineChars="202"/>
        <w:rPr>
          <w:sz w:val="28"/>
          <w:szCs w:val="28"/>
        </w:rPr>
      </w:pPr>
      <w:r>
        <w:rPr>
          <w:rFonts w:hint="eastAsia"/>
          <w:sz w:val="28"/>
          <w:szCs w:val="28"/>
        </w:rPr>
        <w:t>综上，本项目建设系统一年业务数据量约为</w:t>
      </w:r>
      <w:r>
        <w:rPr>
          <w:sz w:val="28"/>
          <w:szCs w:val="28"/>
        </w:rPr>
        <w:t>41.02G+68.76G=109.78G</w:t>
      </w:r>
      <w:r>
        <w:rPr>
          <w:rFonts w:hint="eastAsia"/>
          <w:sz w:val="28"/>
          <w:szCs w:val="28"/>
        </w:rPr>
        <w:t>。考虑到系统存在危险废物名录、系统设置等数据存储需求以及其他数据变更需求，预留</w:t>
      </w:r>
      <w:r>
        <w:rPr>
          <w:sz w:val="28"/>
          <w:szCs w:val="28"/>
        </w:rPr>
        <w:t>20%</w:t>
      </w:r>
      <w:r>
        <w:rPr>
          <w:rFonts w:hint="eastAsia"/>
          <w:sz w:val="28"/>
          <w:szCs w:val="28"/>
        </w:rPr>
        <w:t>的数据余量，容量估算为</w:t>
      </w:r>
      <w:r>
        <w:rPr>
          <w:sz w:val="28"/>
          <w:szCs w:val="28"/>
        </w:rPr>
        <w:t>109.78</w:t>
      </w:r>
      <w:r>
        <w:rPr>
          <w:rFonts w:hint="eastAsia"/>
          <w:sz w:val="28"/>
          <w:szCs w:val="28"/>
        </w:rPr>
        <w:t>×</w:t>
      </w:r>
      <w:r>
        <w:rPr>
          <w:sz w:val="28"/>
          <w:szCs w:val="28"/>
        </w:rPr>
        <w:t>1.2=131.74G/</w:t>
      </w:r>
      <w:r>
        <w:rPr>
          <w:rFonts w:hint="eastAsia"/>
          <w:sz w:val="28"/>
          <w:szCs w:val="28"/>
        </w:rPr>
        <w:t>年。考虑到业务变动及业务数据量保存年限较长等情况，按每年增加</w:t>
      </w:r>
      <w:r>
        <w:rPr>
          <w:sz w:val="28"/>
          <w:szCs w:val="28"/>
        </w:rPr>
        <w:t>20%</w:t>
      </w:r>
      <w:r>
        <w:rPr>
          <w:rFonts w:hint="eastAsia"/>
          <w:sz w:val="28"/>
          <w:szCs w:val="28"/>
        </w:rPr>
        <w:t>估算，三年全生命周期管理系统容量为</w:t>
      </w:r>
      <w:r>
        <w:rPr>
          <w:sz w:val="28"/>
          <w:szCs w:val="28"/>
        </w:rPr>
        <w:t>131.74+131.74*1.2+131.74*1.2*1.2=479.53G</w:t>
      </w:r>
      <w:r>
        <w:rPr>
          <w:rFonts w:hint="eastAsia"/>
          <w:sz w:val="28"/>
          <w:szCs w:val="28"/>
        </w:rPr>
        <w:t>。</w:t>
      </w:r>
    </w:p>
    <w:p>
      <w:pPr>
        <w:spacing w:line="360" w:lineRule="auto"/>
        <w:ind w:firstLine="565" w:firstLineChars="202"/>
        <w:rPr>
          <w:sz w:val="28"/>
          <w:szCs w:val="28"/>
        </w:rPr>
      </w:pPr>
      <w:r>
        <w:rPr>
          <w:rFonts w:hint="eastAsia"/>
          <w:sz w:val="28"/>
          <w:szCs w:val="28"/>
        </w:rPr>
        <w:t>（三）本地备份数据</w:t>
      </w:r>
    </w:p>
    <w:p>
      <w:pPr>
        <w:spacing w:line="360" w:lineRule="auto"/>
        <w:ind w:firstLine="565" w:firstLineChars="202"/>
        <w:rPr>
          <w:sz w:val="28"/>
          <w:szCs w:val="28"/>
        </w:rPr>
      </w:pPr>
      <w:r>
        <w:rPr>
          <w:rFonts w:hint="eastAsia"/>
          <w:sz w:val="28"/>
          <w:szCs w:val="28"/>
        </w:rPr>
        <w:t>按照结构化数据保留最近5次备份、非结构化数据保留最近2次备份的备份策略，所需本地备份数据量合计为（4</w:t>
      </w:r>
      <w:r>
        <w:rPr>
          <w:sz w:val="28"/>
          <w:szCs w:val="28"/>
        </w:rPr>
        <w:t>.1</w:t>
      </w:r>
      <w:r>
        <w:rPr>
          <w:rFonts w:hint="eastAsia"/>
          <w:sz w:val="28"/>
          <w:szCs w:val="28"/>
        </w:rPr>
        <w:t>+</w:t>
      </w:r>
      <w:r>
        <w:rPr>
          <w:sz w:val="28"/>
          <w:szCs w:val="28"/>
        </w:rPr>
        <w:t>68.76</w:t>
      </w:r>
      <w:r>
        <w:rPr>
          <w:rFonts w:hint="eastAsia"/>
          <w:sz w:val="28"/>
          <w:szCs w:val="28"/>
        </w:rPr>
        <w:t>）*</w:t>
      </w:r>
      <w:r>
        <w:rPr>
          <w:sz w:val="28"/>
          <w:szCs w:val="28"/>
        </w:rPr>
        <w:t>1.2</w:t>
      </w:r>
      <w:r>
        <w:rPr>
          <w:rFonts w:hint="eastAsia"/>
          <w:sz w:val="28"/>
          <w:szCs w:val="28"/>
        </w:rPr>
        <w:t>*</w:t>
      </w:r>
      <w:r>
        <w:rPr>
          <w:sz w:val="28"/>
          <w:szCs w:val="28"/>
        </w:rPr>
        <w:t>1.2</w:t>
      </w:r>
      <w:r>
        <w:rPr>
          <w:rFonts w:hint="eastAsia"/>
          <w:sz w:val="28"/>
          <w:szCs w:val="28"/>
        </w:rPr>
        <w:t>*</w:t>
      </w:r>
      <w:r>
        <w:rPr>
          <w:sz w:val="28"/>
          <w:szCs w:val="28"/>
        </w:rPr>
        <w:t>5</w:t>
      </w:r>
      <w:r>
        <w:rPr>
          <w:rFonts w:hint="eastAsia"/>
          <w:sz w:val="28"/>
          <w:szCs w:val="28"/>
        </w:rPr>
        <w:t>+3</w:t>
      </w:r>
      <w:r>
        <w:rPr>
          <w:sz w:val="28"/>
          <w:szCs w:val="28"/>
        </w:rPr>
        <w:t>6.92</w:t>
      </w:r>
      <w:r>
        <w:rPr>
          <w:rFonts w:hint="eastAsia"/>
          <w:sz w:val="28"/>
          <w:szCs w:val="28"/>
        </w:rPr>
        <w:t>*</w:t>
      </w:r>
      <w:r>
        <w:rPr>
          <w:sz w:val="28"/>
          <w:szCs w:val="28"/>
        </w:rPr>
        <w:t>1.2</w:t>
      </w:r>
      <w:r>
        <w:rPr>
          <w:rFonts w:hint="eastAsia"/>
          <w:sz w:val="28"/>
          <w:szCs w:val="28"/>
        </w:rPr>
        <w:t>*</w:t>
      </w:r>
      <w:r>
        <w:rPr>
          <w:sz w:val="28"/>
          <w:szCs w:val="28"/>
        </w:rPr>
        <w:t>1.2</w:t>
      </w:r>
      <w:r>
        <w:rPr>
          <w:rFonts w:hint="eastAsia"/>
          <w:sz w:val="28"/>
          <w:szCs w:val="28"/>
        </w:rPr>
        <w:t>*</w:t>
      </w:r>
      <w:r>
        <w:rPr>
          <w:sz w:val="28"/>
          <w:szCs w:val="28"/>
        </w:rPr>
        <w:t>2</w:t>
      </w:r>
      <w:r>
        <w:rPr>
          <w:rFonts w:hint="eastAsia"/>
          <w:sz w:val="28"/>
          <w:szCs w:val="28"/>
        </w:rPr>
        <w:t>=</w:t>
      </w:r>
      <w:r>
        <w:rPr>
          <w:sz w:val="28"/>
          <w:szCs w:val="28"/>
        </w:rPr>
        <w:t>524.59</w:t>
      </w:r>
      <w:r>
        <w:rPr>
          <w:rFonts w:hint="eastAsia"/>
          <w:sz w:val="28"/>
          <w:szCs w:val="28"/>
        </w:rPr>
        <w:t>+</w:t>
      </w:r>
      <w:r>
        <w:rPr>
          <w:sz w:val="28"/>
          <w:szCs w:val="28"/>
        </w:rPr>
        <w:t>106.33</w:t>
      </w:r>
      <w:r>
        <w:rPr>
          <w:rFonts w:hint="eastAsia"/>
          <w:sz w:val="28"/>
          <w:szCs w:val="28"/>
        </w:rPr>
        <w:t>=</w:t>
      </w:r>
      <w:r>
        <w:rPr>
          <w:sz w:val="28"/>
          <w:szCs w:val="28"/>
        </w:rPr>
        <w:t>648.92G</w:t>
      </w:r>
      <w:r>
        <w:rPr>
          <w:rFonts w:hint="eastAsia"/>
          <w:sz w:val="28"/>
          <w:szCs w:val="28"/>
        </w:rPr>
        <w:t>。</w:t>
      </w:r>
    </w:p>
    <w:p>
      <w:pPr>
        <w:pStyle w:val="3"/>
      </w:pPr>
      <w:bookmarkStart w:id="44" w:name="_Toc97654049"/>
      <w:r>
        <w:t>系统功能和性能需求分析</w:t>
      </w:r>
      <w:bookmarkEnd w:id="44"/>
    </w:p>
    <w:p>
      <w:pPr>
        <w:pStyle w:val="4"/>
      </w:pPr>
      <w:bookmarkStart w:id="45" w:name="_Toc97654050"/>
      <w:r>
        <w:t>系统功能需求</w:t>
      </w:r>
      <w:bookmarkEnd w:id="45"/>
    </w:p>
    <w:p>
      <w:pPr>
        <w:spacing w:line="560" w:lineRule="exact"/>
        <w:ind w:firstLine="560"/>
        <w:rPr>
          <w:sz w:val="28"/>
          <w:szCs w:val="28"/>
        </w:rPr>
      </w:pPr>
      <w:r>
        <w:rPr>
          <w:sz w:val="28"/>
          <w:szCs w:val="28"/>
        </w:rPr>
        <w:t>1、数据支撑平台。数据支撑平台建设为智能称重物联设备接入、视频信息管理、数据仓库建设等后续系统开发工作提供了支撑能力。</w:t>
      </w:r>
    </w:p>
    <w:p>
      <w:pPr>
        <w:spacing w:line="560" w:lineRule="exact"/>
        <w:ind w:firstLine="560"/>
        <w:rPr>
          <w:sz w:val="28"/>
          <w:szCs w:val="28"/>
        </w:rPr>
      </w:pPr>
      <w:r>
        <w:rPr>
          <w:sz w:val="28"/>
          <w:szCs w:val="28"/>
        </w:rPr>
        <w:t>2、危废全生命周期监管。对危险废物产生、自行利用处置、贮存、委外转移、利用处置、利用处置后等环节的信息进行全生命周期的管理，规范危废六环节监管。</w:t>
      </w:r>
    </w:p>
    <w:p>
      <w:pPr>
        <w:spacing w:line="560" w:lineRule="exact"/>
        <w:ind w:firstLine="560"/>
        <w:rPr>
          <w:sz w:val="28"/>
          <w:szCs w:val="28"/>
        </w:rPr>
      </w:pPr>
      <w:r>
        <w:rPr>
          <w:sz w:val="28"/>
          <w:szCs w:val="28"/>
        </w:rPr>
        <w:t>3、移动端APP。通过手机APP实现掌上办公，对用户辖区范围内危废总量数据进行综合统计展示，展示内容包括本市产废家数、处置家数、产废总量、处置总量、产废分布、重点关注对象等，实现方便快捷地对涉废企业的查询监管。</w:t>
      </w:r>
    </w:p>
    <w:p>
      <w:pPr>
        <w:spacing w:line="560" w:lineRule="exact"/>
        <w:ind w:firstLine="560"/>
        <w:rPr>
          <w:sz w:val="28"/>
          <w:szCs w:val="28"/>
        </w:rPr>
      </w:pPr>
      <w:r>
        <w:rPr>
          <w:sz w:val="28"/>
          <w:szCs w:val="28"/>
        </w:rPr>
        <w:t>4、数据对接。依托数据共享服务接口与河北省固体废物动态信息监控平台和</w:t>
      </w:r>
      <w:r>
        <w:rPr>
          <w:color w:val="000000"/>
          <w:kern w:val="0"/>
          <w:sz w:val="28"/>
          <w:szCs w:val="28"/>
        </w:rPr>
        <w:t>交管部门危废运输车辆信息</w:t>
      </w:r>
      <w:r>
        <w:rPr>
          <w:sz w:val="28"/>
          <w:szCs w:val="28"/>
        </w:rPr>
        <w:t>进行对接共享，提供涉市产废单位的基本信息、产废月报信息、联单信息、管理计划信息等，运输单位基本信息、车辆信息等，经营处置单位的基本信息、许可证信息（含处置能力、处置范围）与跨省市转移的联单信息等。</w:t>
      </w:r>
    </w:p>
    <w:p>
      <w:pPr>
        <w:spacing w:line="560" w:lineRule="exact"/>
        <w:ind w:firstLine="560"/>
        <w:rPr>
          <w:sz w:val="28"/>
          <w:szCs w:val="28"/>
        </w:rPr>
      </w:pPr>
      <w:r>
        <w:rPr>
          <w:sz w:val="28"/>
          <w:szCs w:val="28"/>
        </w:rPr>
        <w:t>5、视频数据采集。实现企业的视频设备接入（如IPC、NVR、华为SDC等）、视频管理和视频AI分析</w:t>
      </w:r>
      <w:r>
        <w:rPr>
          <w:rFonts w:hint="eastAsia"/>
          <w:sz w:val="28"/>
          <w:szCs w:val="28"/>
        </w:rPr>
        <w:t>接入</w:t>
      </w:r>
      <w:r>
        <w:rPr>
          <w:sz w:val="28"/>
          <w:szCs w:val="28"/>
        </w:rPr>
        <w:t>的能力。</w:t>
      </w:r>
    </w:p>
    <w:p>
      <w:pPr>
        <w:pStyle w:val="4"/>
      </w:pPr>
      <w:bookmarkStart w:id="46" w:name="_Toc97654051"/>
      <w:r>
        <w:t>系统性能需求</w:t>
      </w:r>
      <w:bookmarkEnd w:id="46"/>
    </w:p>
    <w:p>
      <w:pPr>
        <w:ind w:firstLine="560"/>
        <w:rPr>
          <w:sz w:val="28"/>
          <w:szCs w:val="28"/>
        </w:rPr>
      </w:pPr>
      <w:r>
        <w:rPr>
          <w:sz w:val="28"/>
          <w:szCs w:val="28"/>
        </w:rPr>
        <w:t>网络平台性能：要求数据传输网络畅通、快捷、安全、可扩展</w:t>
      </w:r>
    </w:p>
    <w:p>
      <w:pPr>
        <w:ind w:firstLine="560"/>
        <w:rPr>
          <w:sz w:val="28"/>
          <w:szCs w:val="28"/>
        </w:rPr>
      </w:pPr>
      <w:r>
        <w:rPr>
          <w:sz w:val="28"/>
          <w:szCs w:val="28"/>
        </w:rPr>
        <w:t>数据存储性能：要求能支撑全市危险废物监控数据存储。</w:t>
      </w:r>
    </w:p>
    <w:p>
      <w:pPr>
        <w:ind w:firstLine="560"/>
        <w:rPr>
          <w:sz w:val="28"/>
          <w:szCs w:val="28"/>
        </w:rPr>
      </w:pPr>
      <w:r>
        <w:rPr>
          <w:sz w:val="28"/>
          <w:szCs w:val="28"/>
        </w:rPr>
        <w:t>系统平台性能：</w:t>
      </w:r>
      <w:r>
        <w:rPr>
          <w:rFonts w:hint="eastAsia"/>
          <w:sz w:val="28"/>
          <w:szCs w:val="28"/>
        </w:rPr>
        <w:t>估算保定市生态环境局同时访问系统用户为</w:t>
      </w:r>
      <w:r>
        <w:rPr>
          <w:sz w:val="28"/>
          <w:szCs w:val="28"/>
        </w:rPr>
        <w:t>20</w:t>
      </w:r>
      <w:r>
        <w:rPr>
          <w:rFonts w:hint="eastAsia"/>
          <w:sz w:val="28"/>
          <w:szCs w:val="28"/>
        </w:rPr>
        <w:t>人，系统并发要求在</w:t>
      </w:r>
      <w:r>
        <w:rPr>
          <w:sz w:val="28"/>
          <w:szCs w:val="28"/>
        </w:rPr>
        <w:t>2</w:t>
      </w:r>
      <w:r>
        <w:rPr>
          <w:rFonts w:hint="eastAsia"/>
          <w:sz w:val="28"/>
          <w:szCs w:val="28"/>
        </w:rPr>
        <w:t xml:space="preserve">秒内响应，加载、查询、统计的处理时间要求满足用户日常体验。 </w:t>
      </w:r>
    </w:p>
    <w:tbl>
      <w:tblPr>
        <w:tblStyle w:val="77"/>
        <w:tblW w:w="44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5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功能名称</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并发数</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支持10次/秒并发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页面加载</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页面加载时间&lt;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目录树加载</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目录树加载时间&lt;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数据列表加载</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数据列表加载时间&lt;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录入数据检查提醒</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录入数据检查提醒时间&lt;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数据查询</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简单查询处理时间&lt; 2秒；</w:t>
            </w:r>
          </w:p>
          <w:p>
            <w:pPr>
              <w:pStyle w:val="114"/>
              <w:rPr>
                <w:szCs w:val="28"/>
              </w:rPr>
            </w:pPr>
            <w:r>
              <w:rPr>
                <w:szCs w:val="28"/>
              </w:rPr>
              <w:t>复杂查询处理时间&lt; 4秒；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数据统计</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简单统计处理时间&lt; 5秒；</w:t>
            </w:r>
          </w:p>
          <w:p>
            <w:pPr>
              <w:pStyle w:val="114"/>
              <w:rPr>
                <w:szCs w:val="28"/>
              </w:rPr>
            </w:pPr>
            <w:r>
              <w:rPr>
                <w:szCs w:val="28"/>
              </w:rPr>
              <w:t>复杂统计处理时间&lt; 10秒；</w:t>
            </w:r>
          </w:p>
        </w:tc>
      </w:tr>
    </w:tbl>
    <w:p>
      <w:pPr>
        <w:ind w:firstLine="560"/>
        <w:rPr>
          <w:sz w:val="28"/>
          <w:szCs w:val="28"/>
        </w:rPr>
      </w:pPr>
      <w:r>
        <w:rPr>
          <w:sz w:val="28"/>
          <w:szCs w:val="28"/>
        </w:rPr>
        <w:t>应用系统性能：应用系统应满足用户的要求，稳定、可靠、使用。人机界面友好，输出、输入方便，图表生成灵活美观，检索、查询简单快捷。</w:t>
      </w:r>
    </w:p>
    <w:p>
      <w:pPr>
        <w:ind w:firstLine="560"/>
        <w:rPr>
          <w:sz w:val="28"/>
          <w:szCs w:val="28"/>
        </w:rPr>
      </w:pPr>
      <w:r>
        <w:rPr>
          <w:sz w:val="28"/>
          <w:szCs w:val="28"/>
        </w:rPr>
        <w:t>安全性能：按照信息密级，在不同的信息安全域实施相应的安全等级保护，对不同安全等级的信息，通过身份认证和访问控制，实现授权访问；同时整个系统具备数据备份、恢复和应急响应等功能。</w:t>
      </w:r>
    </w:p>
    <w:p>
      <w:pPr>
        <w:ind w:firstLine="560"/>
        <w:rPr>
          <w:sz w:val="28"/>
          <w:szCs w:val="28"/>
        </w:rPr>
      </w:pPr>
      <w:r>
        <w:rPr>
          <w:sz w:val="28"/>
          <w:szCs w:val="28"/>
        </w:rPr>
        <w:t>数据质量：系统数据应及时、准确、完整，能够满足汇总统计、制表制图、分析计算等要求。</w:t>
      </w:r>
    </w:p>
    <w:p>
      <w:pPr>
        <w:ind w:firstLine="560"/>
        <w:rPr>
          <w:sz w:val="28"/>
          <w:szCs w:val="28"/>
        </w:rPr>
      </w:pPr>
    </w:p>
    <w:p>
      <w:pPr>
        <w:pStyle w:val="2"/>
        <w:ind w:firstLine="643"/>
        <w:rPr>
          <w:sz w:val="28"/>
          <w:szCs w:val="28"/>
        </w:rPr>
      </w:pPr>
      <w:bookmarkStart w:id="47" w:name="_Toc97654052"/>
      <w:r>
        <w:rPr>
          <w:sz w:val="28"/>
          <w:szCs w:val="28"/>
        </w:rPr>
        <w:t>项目建设方案</w:t>
      </w:r>
      <w:bookmarkEnd w:id="47"/>
    </w:p>
    <w:p>
      <w:pPr>
        <w:pStyle w:val="3"/>
      </w:pPr>
      <w:bookmarkStart w:id="48" w:name="_Toc97654053"/>
      <w:r>
        <w:t>建设原则</w:t>
      </w:r>
      <w:bookmarkEnd w:id="48"/>
    </w:p>
    <w:p>
      <w:pPr>
        <w:pStyle w:val="4"/>
      </w:pPr>
      <w:bookmarkStart w:id="49" w:name="_Toc81322743"/>
      <w:bookmarkStart w:id="50" w:name="_Toc97654054"/>
      <w:r>
        <w:t>顶层设计原则</w:t>
      </w:r>
      <w:bookmarkEnd w:id="49"/>
      <w:bookmarkEnd w:id="50"/>
    </w:p>
    <w:p>
      <w:pPr>
        <w:ind w:firstLine="560"/>
        <w:rPr>
          <w:sz w:val="28"/>
          <w:szCs w:val="28"/>
        </w:rPr>
      </w:pPr>
      <w:r>
        <w:rPr>
          <w:sz w:val="28"/>
          <w:szCs w:val="28"/>
        </w:rPr>
        <w:t>围绕以改善环境质量为核心，以有效防范环境风险为目标，依据《中华人民共和国固体废物污染环境防治法》、《国务院办公厅关于印发“无废城市”建设试点工作方案的通知》（国办发〔2018〕128号）、《关于提升危险废物环境监管能力、利用处置能力和环境风险防范能力的指导意见》（环固体〔2019〕92号）、《国务院办公厅关于印发强化危险废物监管和利用处置能力改革实施方案的通知》国办函〔2021〕47号、《河北省生态环境厅关于加快危险废物智能化环境监管平台建设的指导意见》（冀环规范〔2021〕1号）等政策文件要求，坚持统筹规划、顶层设计原则，既立足当前，又着眼长远，统筹考虑保定市固危险废物智能监管平台的建设标准、建设内容，做到设计科学、应用全面、系统架构灵活。</w:t>
      </w:r>
    </w:p>
    <w:p>
      <w:pPr>
        <w:pStyle w:val="4"/>
      </w:pPr>
      <w:bookmarkStart w:id="51" w:name="_Toc97654055"/>
      <w:bookmarkStart w:id="52" w:name="_Toc81322744"/>
      <w:r>
        <w:t>技术先进性原则</w:t>
      </w:r>
      <w:bookmarkEnd w:id="51"/>
      <w:bookmarkEnd w:id="52"/>
    </w:p>
    <w:p>
      <w:pPr>
        <w:ind w:firstLine="560"/>
        <w:rPr>
          <w:sz w:val="28"/>
          <w:szCs w:val="28"/>
        </w:rPr>
      </w:pPr>
      <w:r>
        <w:rPr>
          <w:sz w:val="28"/>
          <w:szCs w:val="28"/>
        </w:rPr>
        <w:t>充分考虑新一代信息技术的发展趋势，选择国内外先进的成熟的主流信息技术架构，以确保构建保定市危险废物智能监管平台所采用技术的先进性，确保系统能适应信息技术迅速发展所导致的系统迭代升级问题。</w:t>
      </w:r>
    </w:p>
    <w:p>
      <w:pPr>
        <w:pStyle w:val="4"/>
      </w:pPr>
      <w:bookmarkStart w:id="53" w:name="_Toc81322745"/>
      <w:bookmarkStart w:id="54" w:name="_Toc97654056"/>
      <w:r>
        <w:t>可扩展性原则</w:t>
      </w:r>
      <w:bookmarkEnd w:id="53"/>
      <w:bookmarkEnd w:id="54"/>
    </w:p>
    <w:p>
      <w:pPr>
        <w:ind w:firstLine="560"/>
        <w:rPr>
          <w:sz w:val="28"/>
          <w:szCs w:val="28"/>
        </w:rPr>
      </w:pPr>
      <w:r>
        <w:rPr>
          <w:sz w:val="28"/>
          <w:szCs w:val="28"/>
        </w:rPr>
        <w:t>充分考虑发展现状和未来的发展趋势，需为系统未来扩展、升级改造做好预留，因此在硬件环境架构、软件系统和数据存储容量设计等方面，都要考虑冗余，便于扩展。</w:t>
      </w:r>
    </w:p>
    <w:p>
      <w:pPr>
        <w:pStyle w:val="4"/>
      </w:pPr>
      <w:bookmarkStart w:id="55" w:name="_Toc97654057"/>
      <w:bookmarkStart w:id="56" w:name="_Toc81322746"/>
      <w:r>
        <w:t>安全性原则</w:t>
      </w:r>
      <w:bookmarkEnd w:id="55"/>
      <w:bookmarkEnd w:id="56"/>
    </w:p>
    <w:p>
      <w:pPr>
        <w:ind w:firstLine="560"/>
        <w:rPr>
          <w:sz w:val="28"/>
          <w:szCs w:val="28"/>
        </w:rPr>
      </w:pPr>
      <w:r>
        <w:rPr>
          <w:sz w:val="28"/>
          <w:szCs w:val="28"/>
        </w:rPr>
        <w:t>本项目中建立完善的系统运行安全体系是一项十分重要的工作任务。系统通过应用多项现代信息安全技术和安全保障体系，保证系统的网络安全、信息安全、应用安全和数据安全等。</w:t>
      </w:r>
    </w:p>
    <w:p>
      <w:pPr>
        <w:pStyle w:val="4"/>
      </w:pPr>
      <w:bookmarkStart w:id="57" w:name="_Toc81322747"/>
      <w:bookmarkStart w:id="58" w:name="_Toc97654058"/>
      <w:r>
        <w:t>规范性原则</w:t>
      </w:r>
      <w:bookmarkEnd w:id="57"/>
      <w:bookmarkEnd w:id="58"/>
    </w:p>
    <w:p>
      <w:pPr>
        <w:ind w:firstLine="560"/>
        <w:rPr>
          <w:sz w:val="28"/>
          <w:szCs w:val="28"/>
        </w:rPr>
      </w:pPr>
      <w:r>
        <w:rPr>
          <w:sz w:val="28"/>
          <w:szCs w:val="28"/>
        </w:rPr>
        <w:t>系统实施要遵循信息化工程规范的要求，符合相关质量管理体系的要求和规范。同时满足国际、国内有关电子文件、档案的管理要求、规范、法律和法规，提供详细的过程文档以供备案待查。</w:t>
      </w:r>
    </w:p>
    <w:p>
      <w:pPr>
        <w:pStyle w:val="4"/>
      </w:pPr>
      <w:bookmarkStart w:id="59" w:name="_Toc81322748"/>
      <w:bookmarkStart w:id="60" w:name="_Toc97654059"/>
      <w:r>
        <w:t>高可靠性原则</w:t>
      </w:r>
      <w:bookmarkEnd w:id="59"/>
      <w:bookmarkEnd w:id="60"/>
    </w:p>
    <w:p>
      <w:pPr>
        <w:ind w:firstLine="560"/>
        <w:rPr>
          <w:sz w:val="28"/>
          <w:szCs w:val="28"/>
        </w:rPr>
      </w:pPr>
      <w:r>
        <w:rPr>
          <w:sz w:val="28"/>
          <w:szCs w:val="28"/>
        </w:rPr>
        <w:t>在系统设计中，应有适量冗余及其他保护措施，平台和应用软件应具有容错性和健壮性等，有效保证系统7*24不间断运行。系统必须具备较强的灾难处理能力，包括数据备份与灾难性恢复，能够做到系统的高可靠保障。</w:t>
      </w:r>
    </w:p>
    <w:p>
      <w:pPr>
        <w:ind w:firstLine="560"/>
        <w:rPr>
          <w:sz w:val="28"/>
          <w:szCs w:val="28"/>
        </w:rPr>
      </w:pPr>
      <w:r>
        <w:rPr>
          <w:sz w:val="28"/>
          <w:szCs w:val="28"/>
        </w:rPr>
        <w:t>遵循上述项目建设原则，采用成熟技术和产品快速实施项目的策略，保证项目建设的安全性、高效性和可靠性。</w:t>
      </w:r>
    </w:p>
    <w:p>
      <w:pPr>
        <w:pStyle w:val="3"/>
      </w:pPr>
      <w:bookmarkStart w:id="61" w:name="_Toc97654060"/>
      <w:r>
        <w:t>总体目标</w:t>
      </w:r>
      <w:bookmarkEnd w:id="61"/>
    </w:p>
    <w:p>
      <w:pPr>
        <w:ind w:firstLine="560"/>
        <w:rPr>
          <w:sz w:val="28"/>
          <w:szCs w:val="28"/>
        </w:rPr>
      </w:pPr>
      <w:r>
        <w:rPr>
          <w:sz w:val="28"/>
          <w:szCs w:val="28"/>
        </w:rPr>
        <w:t>通过保定市危险废物智能监管平台建设，一是回流河北省固体废物动态信息平台关于保定市固体废物产生、转移、处置利用的全过程信息，二是通过物联网智能终端实现危废数据采集，建立集动态管理、业务流转、数据分析和预测预警等一体化的危险废物智能监控平台。为日常管理工作提供支持，自动发现各类弄虚作假现象，协助管理部门加大对产生、交换、转移、利用、处置全过程的监管力度，防止和减少违法事件。</w:t>
      </w:r>
    </w:p>
    <w:p>
      <w:pPr>
        <w:ind w:firstLine="560"/>
        <w:rPr>
          <w:sz w:val="28"/>
          <w:szCs w:val="28"/>
        </w:rPr>
      </w:pPr>
      <w:r>
        <w:rPr>
          <w:sz w:val="28"/>
          <w:szCs w:val="28"/>
        </w:rPr>
        <w:t>（1）全面覆盖，高效融合</w:t>
      </w:r>
    </w:p>
    <w:p>
      <w:pPr>
        <w:ind w:firstLine="560"/>
        <w:rPr>
          <w:sz w:val="28"/>
          <w:szCs w:val="28"/>
        </w:rPr>
      </w:pPr>
      <w:r>
        <w:rPr>
          <w:sz w:val="28"/>
          <w:szCs w:val="28"/>
        </w:rPr>
        <w:t>本期项目将充分考虑与河北省固体废物动态信息平台的有效衔接包括资源、数据、成果的延续利用，实现地市危废转移、运输、处置数据的采集，强化危废全流程监管网络。</w:t>
      </w:r>
    </w:p>
    <w:p>
      <w:pPr>
        <w:ind w:firstLine="560"/>
        <w:rPr>
          <w:sz w:val="28"/>
          <w:szCs w:val="28"/>
        </w:rPr>
      </w:pPr>
      <w:r>
        <w:rPr>
          <w:sz w:val="28"/>
          <w:szCs w:val="28"/>
        </w:rPr>
        <w:t>（2）物联治废，精准溯源</w:t>
      </w:r>
    </w:p>
    <w:p>
      <w:pPr>
        <w:ind w:firstLine="560"/>
        <w:rPr>
          <w:sz w:val="28"/>
          <w:szCs w:val="28"/>
        </w:rPr>
      </w:pPr>
      <w:r>
        <w:rPr>
          <w:sz w:val="28"/>
          <w:szCs w:val="28"/>
        </w:rPr>
        <w:t>引进物联网全过程管理和大数据智能分析工具，利用智能地磅、智能电子秤、二维码、视频监控、GPS定位等物联手段，结合管控基础设施和地理信息系统，建立危险废物全过程控制体系，为危险废物可溯源化提供技术保障，为危险废物综合监管提供有力辅助支撑。</w:t>
      </w:r>
    </w:p>
    <w:p>
      <w:pPr>
        <w:ind w:firstLine="560"/>
        <w:rPr>
          <w:sz w:val="28"/>
          <w:szCs w:val="28"/>
        </w:rPr>
      </w:pPr>
      <w:r>
        <w:rPr>
          <w:sz w:val="28"/>
          <w:szCs w:val="28"/>
        </w:rPr>
        <w:t>（3）双端应用，移动办公</w:t>
      </w:r>
    </w:p>
    <w:p>
      <w:pPr>
        <w:ind w:firstLine="560"/>
        <w:rPr>
          <w:sz w:val="28"/>
          <w:szCs w:val="28"/>
        </w:rPr>
      </w:pPr>
      <w:r>
        <w:rPr>
          <w:rFonts w:hint="eastAsia"/>
          <w:sz w:val="28"/>
          <w:szCs w:val="28"/>
        </w:rPr>
        <w:t>管理人员</w:t>
      </w:r>
      <w:r>
        <w:rPr>
          <w:sz w:val="28"/>
          <w:szCs w:val="28"/>
        </w:rPr>
        <w:t>通过</w:t>
      </w:r>
      <w:r>
        <w:rPr>
          <w:rFonts w:hint="eastAsia"/>
          <w:sz w:val="28"/>
          <w:szCs w:val="28"/>
        </w:rPr>
        <w:t>移动端</w:t>
      </w:r>
      <w:r>
        <w:rPr>
          <w:sz w:val="28"/>
          <w:szCs w:val="28"/>
        </w:rPr>
        <w:t>APP办理危险废物监管平台相关业务，实时查询各类涉废信息，促使</w:t>
      </w:r>
      <w:r>
        <w:rPr>
          <w:rFonts w:hint="eastAsia"/>
          <w:sz w:val="28"/>
          <w:szCs w:val="28"/>
        </w:rPr>
        <w:t>管理部门</w:t>
      </w:r>
      <w:r>
        <w:rPr>
          <w:sz w:val="28"/>
          <w:szCs w:val="28"/>
        </w:rPr>
        <w:t>用户便捷化、移动化处理危废管理日常工作。</w:t>
      </w:r>
    </w:p>
    <w:p>
      <w:pPr>
        <w:pStyle w:val="3"/>
      </w:pPr>
      <w:bookmarkStart w:id="62" w:name="_Toc97654061"/>
      <w:r>
        <w:t>建设任务</w:t>
      </w:r>
      <w:bookmarkEnd w:id="62"/>
    </w:p>
    <w:p>
      <w:pPr>
        <w:pStyle w:val="4"/>
      </w:pPr>
      <w:bookmarkStart w:id="63" w:name="_Toc81322751"/>
      <w:bookmarkStart w:id="64" w:name="_Toc97654062"/>
      <w:r>
        <w:t>危险废物数据支撑平台</w:t>
      </w:r>
      <w:bookmarkEnd w:id="63"/>
      <w:bookmarkEnd w:id="64"/>
    </w:p>
    <w:p>
      <w:pPr>
        <w:ind w:firstLine="560"/>
        <w:rPr>
          <w:sz w:val="28"/>
          <w:szCs w:val="28"/>
        </w:rPr>
      </w:pPr>
      <w:r>
        <w:rPr>
          <w:sz w:val="28"/>
          <w:szCs w:val="28"/>
        </w:rPr>
        <w:t>按照分级管理、精细化监管的思路实现危废监控数据采集，建设危险废物智能监控数据采集平台，实现对安装智能监控设备数据采集，实现数据实时报送，视频实时调用传输，丰富危险废物监管数据，为危险废物精细化、可视化监管奠定基础。</w:t>
      </w:r>
    </w:p>
    <w:p>
      <w:pPr>
        <w:pStyle w:val="4"/>
      </w:pPr>
      <w:bookmarkStart w:id="65" w:name="_Toc81322752"/>
      <w:bookmarkStart w:id="66" w:name="_Toc97654063"/>
      <w:r>
        <w:t>危险废物全生命周期监管</w:t>
      </w:r>
      <w:bookmarkEnd w:id="65"/>
      <w:bookmarkEnd w:id="66"/>
    </w:p>
    <w:p>
      <w:pPr>
        <w:ind w:firstLine="560"/>
        <w:rPr>
          <w:sz w:val="28"/>
          <w:szCs w:val="28"/>
        </w:rPr>
      </w:pPr>
      <w:r>
        <w:rPr>
          <w:sz w:val="28"/>
          <w:szCs w:val="28"/>
        </w:rPr>
        <w:t>突破现有管理模式，将视频监控、二维码电子标签、电子地磅等与智能数据分析、GPS技术充分整合，实现对危险废物产生、转移、处置过程中的数据采集、记录和分析，实现危险废物全生命周期管理透明化。将各类数据进行关联分析，判断企业是否存在偷埋危险废物、漏报过程数据的行为，对异常情况进行预警提醒，切实提高危废处置过程的规范化。</w:t>
      </w:r>
    </w:p>
    <w:p>
      <w:pPr>
        <w:ind w:firstLine="560"/>
        <w:rPr>
          <w:sz w:val="28"/>
          <w:szCs w:val="28"/>
        </w:rPr>
      </w:pPr>
      <w:r>
        <w:rPr>
          <w:sz w:val="28"/>
          <w:szCs w:val="28"/>
        </w:rPr>
        <w:t>以危险废物监管“两点一线”为核心，围绕产生单位、经营单位“两点”、转移运输“一线”中的关键环节、关键节点，利用智能视频等技术实现信息流的自动化分析，形成“生产-出库–称重–出厂–运输–接收–再称重–入库–处理”的危险废物全生命闭环监管，基于电子标签，实现对危险废物的线上、线下追溯。</w:t>
      </w:r>
    </w:p>
    <w:p>
      <w:pPr>
        <w:pStyle w:val="4"/>
      </w:pPr>
      <w:bookmarkStart w:id="67" w:name="_Toc97654064"/>
      <w:bookmarkStart w:id="68" w:name="_Toc81322754"/>
      <w:bookmarkStart w:id="69" w:name="_Toc81322753"/>
      <w:r>
        <w:t>移动端APP</w:t>
      </w:r>
      <w:bookmarkEnd w:id="67"/>
      <w:bookmarkEnd w:id="68"/>
    </w:p>
    <w:p>
      <w:pPr>
        <w:ind w:firstLine="560"/>
        <w:rPr>
          <w:sz w:val="28"/>
          <w:szCs w:val="28"/>
        </w:rPr>
      </w:pPr>
      <w:r>
        <w:rPr>
          <w:sz w:val="28"/>
          <w:szCs w:val="28"/>
        </w:rPr>
        <w:t>建立管理端移动APP，使管理端用户便捷化、移动化处理危废管理日常工作。移动APP为Android手机应用开发环境搭建，后续可融合其他主流环境。</w:t>
      </w:r>
    </w:p>
    <w:p>
      <w:pPr>
        <w:pStyle w:val="4"/>
      </w:pPr>
      <w:bookmarkStart w:id="70" w:name="_Toc97654065"/>
      <w:r>
        <w:t>视频</w:t>
      </w:r>
      <w:bookmarkEnd w:id="69"/>
      <w:r>
        <w:t>数据采集</w:t>
      </w:r>
      <w:bookmarkEnd w:id="70"/>
    </w:p>
    <w:p>
      <w:pPr>
        <w:ind w:firstLine="560"/>
        <w:rPr>
          <w:sz w:val="28"/>
          <w:szCs w:val="28"/>
        </w:rPr>
      </w:pPr>
      <w:r>
        <w:rPr>
          <w:sz w:val="28"/>
          <w:szCs w:val="28"/>
        </w:rPr>
        <w:t>采集涉废企业的重点位置，如贮存仓库、物流通道、处置设施等的监控视频信息，实现企业的视频设备接入（如IPC、NVR、华为SDC等）、视频管理和视频AI分析</w:t>
      </w:r>
      <w:r>
        <w:rPr>
          <w:rFonts w:hint="eastAsia"/>
          <w:sz w:val="28"/>
          <w:szCs w:val="28"/>
        </w:rPr>
        <w:t>接入</w:t>
      </w:r>
      <w:r>
        <w:rPr>
          <w:sz w:val="28"/>
          <w:szCs w:val="28"/>
        </w:rPr>
        <w:t>的能力。</w:t>
      </w:r>
    </w:p>
    <w:p>
      <w:pPr>
        <w:pStyle w:val="3"/>
      </w:pPr>
      <w:bookmarkStart w:id="71" w:name="_Toc97654066"/>
      <w:r>
        <w:t>本期项目建设方案</w:t>
      </w:r>
      <w:bookmarkEnd w:id="71"/>
    </w:p>
    <w:p>
      <w:pPr>
        <w:pStyle w:val="4"/>
      </w:pPr>
      <w:bookmarkStart w:id="72" w:name="_Toc97654067"/>
      <w:r>
        <w:t>总体架构</w:t>
      </w:r>
      <w:bookmarkEnd w:id="72"/>
    </w:p>
    <w:p>
      <w:pPr>
        <w:ind w:firstLine="560"/>
        <w:rPr>
          <w:sz w:val="28"/>
          <w:szCs w:val="28"/>
        </w:rPr>
      </w:pPr>
      <w:r>
        <w:rPr>
          <w:sz w:val="28"/>
          <w:szCs w:val="28"/>
        </w:rPr>
        <w:t>平台架构主要包括采集层、数据层、支撑层、应用层、用户层等建设内容，总体架构图如下图所示。</w:t>
      </w:r>
    </w:p>
    <w:p>
      <w:pPr>
        <w:spacing w:line="360" w:lineRule="auto"/>
        <w:ind w:left="-320" w:leftChars="-100" w:firstLine="0" w:firstLineChars="0"/>
        <w:jc w:val="center"/>
        <w:rPr>
          <w:sz w:val="28"/>
          <w:szCs w:val="28"/>
        </w:rPr>
      </w:pPr>
      <w:r>
        <w:rPr>
          <w:sz w:val="28"/>
          <w:szCs w:val="28"/>
        </w:rPr>
        <w:t xml:space="preserve"> </w:t>
      </w:r>
      <w:r>
        <w:rPr>
          <w:sz w:val="28"/>
          <w:szCs w:val="28"/>
        </w:rPr>
        <w:drawing>
          <wp:inline distT="0" distB="0" distL="0" distR="0">
            <wp:extent cx="5380355" cy="3377565"/>
            <wp:effectExtent l="0" t="0" r="0" b="0"/>
            <wp:docPr id="6" name="图片 6" descr="C:\Users\zyf\Pictures\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yf\Pictures\图片1.png"/>
                    <pic:cNvPicPr>
                      <a:picLocks noChangeAspect="1" noChangeArrowheads="1"/>
                    </pic:cNvPicPr>
                  </pic:nvPicPr>
                  <pic:blipFill>
                    <a:blip r:embed="rId17" cstate="print">
                      <a:extLst>
                        <a:ext uri="{28A0092B-C50C-407E-A947-70E740481C1C}">
                          <a14:useLocalDpi xmlns:a14="http://schemas.microsoft.com/office/drawing/2010/main" val="0"/>
                        </a:ext>
                      </a:extLst>
                    </a:blip>
                    <a:srcRect r="8102"/>
                    <a:stretch>
                      <a:fillRect/>
                    </a:stretch>
                  </pic:blipFill>
                  <pic:spPr>
                    <a:xfrm>
                      <a:off x="0" y="0"/>
                      <a:ext cx="5383084" cy="3379506"/>
                    </a:xfrm>
                    <a:prstGeom prst="rect">
                      <a:avLst/>
                    </a:prstGeom>
                    <a:noFill/>
                    <a:ln>
                      <a:noFill/>
                    </a:ln>
                  </pic:spPr>
                </pic:pic>
              </a:graphicData>
            </a:graphic>
          </wp:inline>
        </w:drawing>
      </w:r>
    </w:p>
    <w:p>
      <w:pPr>
        <w:pStyle w:val="4"/>
      </w:pPr>
      <w:bookmarkStart w:id="73" w:name="_Toc97654068"/>
      <w:r>
        <w:t>标准规范建设内容</w:t>
      </w:r>
      <w:bookmarkEnd w:id="73"/>
    </w:p>
    <w:p>
      <w:pPr>
        <w:ind w:firstLine="560"/>
        <w:rPr>
          <w:sz w:val="28"/>
          <w:szCs w:val="28"/>
        </w:rPr>
      </w:pPr>
      <w:bookmarkStart w:id="74" w:name="_Toc81322758"/>
      <w:r>
        <w:rPr>
          <w:sz w:val="28"/>
          <w:szCs w:val="28"/>
        </w:rPr>
        <w:t>《危险废物数据标准规范》</w:t>
      </w:r>
    </w:p>
    <w:p>
      <w:pPr>
        <w:ind w:firstLine="560"/>
        <w:rPr>
          <w:sz w:val="28"/>
          <w:szCs w:val="28"/>
        </w:rPr>
      </w:pPr>
      <w:r>
        <w:rPr>
          <w:sz w:val="28"/>
          <w:szCs w:val="28"/>
        </w:rPr>
        <w:t>《视频监控数据接入标准规范》</w:t>
      </w:r>
    </w:p>
    <w:p>
      <w:pPr>
        <w:ind w:firstLine="560"/>
        <w:rPr>
          <w:sz w:val="28"/>
          <w:szCs w:val="28"/>
        </w:rPr>
      </w:pPr>
      <w:r>
        <w:rPr>
          <w:sz w:val="28"/>
          <w:szCs w:val="28"/>
        </w:rPr>
        <w:t>《数据接口规范》</w:t>
      </w:r>
    </w:p>
    <w:p>
      <w:pPr>
        <w:ind w:firstLine="560"/>
        <w:rPr>
          <w:sz w:val="28"/>
          <w:szCs w:val="28"/>
        </w:rPr>
      </w:pPr>
      <w:r>
        <w:rPr>
          <w:sz w:val="28"/>
          <w:szCs w:val="28"/>
        </w:rPr>
        <w:t>《质量管理标准规范》</w:t>
      </w:r>
    </w:p>
    <w:p>
      <w:pPr>
        <w:ind w:firstLine="560"/>
        <w:rPr>
          <w:sz w:val="28"/>
          <w:szCs w:val="28"/>
        </w:rPr>
      </w:pPr>
      <w:r>
        <w:rPr>
          <w:sz w:val="28"/>
          <w:szCs w:val="28"/>
        </w:rPr>
        <w:t>《信息安全标准规范》</w:t>
      </w:r>
    </w:p>
    <w:p>
      <w:pPr>
        <w:ind w:firstLine="560"/>
        <w:rPr>
          <w:sz w:val="28"/>
          <w:szCs w:val="28"/>
        </w:rPr>
      </w:pPr>
      <w:r>
        <w:rPr>
          <w:sz w:val="28"/>
          <w:szCs w:val="28"/>
        </w:rPr>
        <w:t>《项目验收规范》</w:t>
      </w:r>
    </w:p>
    <w:p>
      <w:pPr>
        <w:pStyle w:val="4"/>
      </w:pPr>
      <w:bookmarkStart w:id="75" w:name="_Toc97654069"/>
      <w:r>
        <w:t>信息资源规划和数据系统建设方案</w:t>
      </w:r>
      <w:bookmarkEnd w:id="74"/>
      <w:bookmarkEnd w:id="75"/>
    </w:p>
    <w:p>
      <w:pPr>
        <w:pStyle w:val="5"/>
      </w:pPr>
      <w:r>
        <w:t>信息资源规划</w:t>
      </w:r>
    </w:p>
    <w:p>
      <w:pPr>
        <w:pStyle w:val="6"/>
      </w:pPr>
      <w:r>
        <w:t>基本定义</w:t>
      </w:r>
    </w:p>
    <w:p>
      <w:pPr>
        <w:ind w:firstLine="560"/>
        <w:rPr>
          <w:color w:val="000000"/>
          <w:sz w:val="28"/>
          <w:szCs w:val="28"/>
        </w:rPr>
      </w:pPr>
      <w:r>
        <w:rPr>
          <w:color w:val="000000"/>
          <w:sz w:val="28"/>
          <w:szCs w:val="28"/>
        </w:rPr>
        <w:t>环境信息资源规划是指对环境主管部门信息的采集、处理、传输和使用的全面规划。其核心是运用先进的信息工程和数据管理理论及方法，通过总体信息规划，打好资源管理的基础，促进实现集成化的应用开发。</w:t>
      </w:r>
    </w:p>
    <w:p>
      <w:pPr>
        <w:ind w:firstLine="560"/>
        <w:rPr>
          <w:color w:val="000000"/>
          <w:sz w:val="28"/>
          <w:szCs w:val="28"/>
        </w:rPr>
      </w:pPr>
      <w:r>
        <w:rPr>
          <w:color w:val="000000"/>
          <w:sz w:val="28"/>
          <w:szCs w:val="28"/>
        </w:rPr>
        <w:t>信息系统工程范围可细分为如下五个方面：</w:t>
      </w:r>
    </w:p>
    <w:p>
      <w:pPr>
        <w:ind w:firstLine="560"/>
        <w:rPr>
          <w:color w:val="000000"/>
          <w:sz w:val="28"/>
          <w:szCs w:val="28"/>
        </w:rPr>
      </w:pPr>
      <w:r>
        <w:rPr>
          <w:color w:val="000000"/>
          <w:sz w:val="28"/>
          <w:szCs w:val="28"/>
        </w:rPr>
        <w:t>1）信息系统的基本理论。信息系统的基本观点、认识论和方法论等。</w:t>
      </w:r>
    </w:p>
    <w:p>
      <w:pPr>
        <w:ind w:firstLine="560"/>
        <w:rPr>
          <w:color w:val="000000"/>
          <w:sz w:val="28"/>
          <w:szCs w:val="28"/>
        </w:rPr>
      </w:pPr>
      <w:r>
        <w:rPr>
          <w:color w:val="000000"/>
          <w:sz w:val="28"/>
          <w:szCs w:val="28"/>
        </w:rPr>
        <w:t>2）信息系统建模。信息系统概念模型、逻辑模型和物理模型的描述、观察、试验与验证等。</w:t>
      </w:r>
    </w:p>
    <w:p>
      <w:pPr>
        <w:ind w:firstLine="560"/>
        <w:rPr>
          <w:color w:val="000000"/>
          <w:sz w:val="28"/>
          <w:szCs w:val="28"/>
        </w:rPr>
      </w:pPr>
      <w:r>
        <w:rPr>
          <w:color w:val="000000"/>
          <w:sz w:val="28"/>
          <w:szCs w:val="28"/>
        </w:rPr>
        <w:t>3）信息系统开发。信息系统建设与管理的概念、方法、评价、规划、工具、标准等一系列相关技术问题和工程问题。</w:t>
      </w:r>
    </w:p>
    <w:p>
      <w:pPr>
        <w:ind w:firstLine="560"/>
        <w:rPr>
          <w:color w:val="000000"/>
          <w:sz w:val="28"/>
          <w:szCs w:val="28"/>
        </w:rPr>
      </w:pPr>
      <w:r>
        <w:rPr>
          <w:color w:val="000000"/>
          <w:sz w:val="28"/>
          <w:szCs w:val="28"/>
        </w:rPr>
        <w:t>4）信息系统支撑技术在信息系统中的应用。数据库/数据仓库、网络通信、人机交互、分布计算、决策支持、智能分析等技术如何满足信息系统各层次用户的需求，实现业务管理、信息共享、分析决策等功能，并在组织和人的参与下最终达到信息系统的目标。</w:t>
      </w:r>
    </w:p>
    <w:p>
      <w:pPr>
        <w:ind w:firstLine="560"/>
        <w:rPr>
          <w:color w:val="000000"/>
          <w:sz w:val="28"/>
          <w:szCs w:val="28"/>
        </w:rPr>
      </w:pPr>
      <w:r>
        <w:rPr>
          <w:color w:val="000000"/>
          <w:sz w:val="28"/>
          <w:szCs w:val="28"/>
        </w:rPr>
        <w:t>5）信息系统集成。研究系统集成的原则、方法、技术、工具和有关的标准、规范，应用先进的相关技术，将支持各个信息“孤岛”的小的运行环境，集成统一在一个大的运行环境中，最终形成一体化的信息系统。</w:t>
      </w:r>
    </w:p>
    <w:p>
      <w:pPr>
        <w:pStyle w:val="6"/>
      </w:pPr>
      <w:r>
        <w:t>主要目标</w:t>
      </w:r>
    </w:p>
    <w:p>
      <w:pPr>
        <w:ind w:firstLine="560"/>
        <w:rPr>
          <w:color w:val="000000"/>
          <w:sz w:val="28"/>
          <w:szCs w:val="28"/>
        </w:rPr>
      </w:pPr>
      <w:r>
        <w:rPr>
          <w:color w:val="000000"/>
          <w:sz w:val="28"/>
          <w:szCs w:val="28"/>
        </w:rPr>
        <w:t>本次项目在开发保定市危险废物智能监管平台时，需要以系统工程的思想方法为指导，综合应用多种信息技术，尤其是信息组织技术解决环境信息资源整合与共享问题，全面分析危险废物管理业务流程并进行优化整合；规范环保部门内部信息资源管理基础标准；对生态环境部门各处室的应用系统需求进行全面分析。</w:t>
      </w:r>
    </w:p>
    <w:p>
      <w:pPr>
        <w:ind w:firstLine="560"/>
        <w:rPr>
          <w:color w:val="000000"/>
          <w:sz w:val="28"/>
          <w:szCs w:val="28"/>
        </w:rPr>
      </w:pPr>
      <w:r>
        <w:rPr>
          <w:color w:val="000000"/>
          <w:sz w:val="28"/>
          <w:szCs w:val="28"/>
        </w:rPr>
        <w:t>通过环境信息资源规划的实施，建立危险废物主管部门内部信息资源管理基础标准、系统功能和系统数据标准。在这些标准和功能需求的指导、控制和协调下，进一步实施保定市危废智能监管平台的网络工程、数据库工程和应用软件工程。从而保证平台建设高起点、低成本，实现信息资源整合一共享的目标。</w:t>
      </w:r>
    </w:p>
    <w:p>
      <w:pPr>
        <w:pStyle w:val="6"/>
      </w:pPr>
      <w:r>
        <w:t>总体思路</w:t>
      </w:r>
    </w:p>
    <w:p>
      <w:pPr>
        <w:ind w:firstLine="560"/>
        <w:rPr>
          <w:color w:val="000000"/>
          <w:sz w:val="28"/>
          <w:szCs w:val="28"/>
        </w:rPr>
      </w:pPr>
      <w:r>
        <w:rPr>
          <w:color w:val="000000"/>
          <w:sz w:val="28"/>
          <w:szCs w:val="28"/>
        </w:rPr>
        <w:t>环境信息资源规划建设思路如下：</w:t>
      </w:r>
    </w:p>
    <w:p>
      <w:pPr>
        <w:spacing w:line="360" w:lineRule="auto"/>
        <w:ind w:firstLine="0" w:firstLineChars="0"/>
        <w:jc w:val="center"/>
        <w:rPr>
          <w:sz w:val="28"/>
          <w:szCs w:val="28"/>
        </w:rPr>
      </w:pPr>
      <w:r>
        <w:rPr>
          <w:sz w:val="28"/>
          <w:szCs w:val="28"/>
        </w:rPr>
        <w:drawing>
          <wp:inline distT="0" distB="0" distL="0" distR="0">
            <wp:extent cx="4371975" cy="27857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75609" cy="2787779"/>
                    </a:xfrm>
                    <a:prstGeom prst="rect">
                      <a:avLst/>
                    </a:prstGeom>
                    <a:noFill/>
                    <a:ln>
                      <a:noFill/>
                    </a:ln>
                  </pic:spPr>
                </pic:pic>
              </a:graphicData>
            </a:graphic>
          </wp:inline>
        </w:drawing>
      </w:r>
    </w:p>
    <w:p>
      <w:pPr>
        <w:pStyle w:val="20"/>
        <w:ind w:left="2240" w:right="2240" w:firstLine="480"/>
        <w:rPr>
          <w:rFonts w:ascii="Times New Roman" w:hAnsi="Times New Roman" w:eastAsia="楷体" w:cs="Times New Roman"/>
          <w:sz w:val="28"/>
          <w:szCs w:val="28"/>
        </w:rPr>
      </w:pPr>
      <w:r>
        <w:rPr>
          <w:rFonts w:ascii="Times New Roman" w:hAnsi="Times New Roman" w:eastAsia="楷体" w:cs="Times New Roman"/>
          <w:sz w:val="28"/>
          <w:szCs w:val="28"/>
        </w:rPr>
        <w:t>环境信息资源规划架图</w:t>
      </w:r>
    </w:p>
    <w:p>
      <w:pPr>
        <w:ind w:firstLine="560"/>
        <w:rPr>
          <w:sz w:val="28"/>
          <w:szCs w:val="28"/>
        </w:rPr>
      </w:pPr>
      <w:r>
        <w:rPr>
          <w:sz w:val="28"/>
          <w:szCs w:val="28"/>
        </w:rPr>
        <w:t>该架构分为六层，分别为：目标层，业务层，数据层，系统层，服务层和技术层。</w:t>
      </w:r>
    </w:p>
    <w:p>
      <w:pPr>
        <w:ind w:firstLine="562"/>
        <w:rPr>
          <w:b/>
          <w:sz w:val="28"/>
          <w:szCs w:val="28"/>
        </w:rPr>
      </w:pPr>
      <w:r>
        <w:rPr>
          <w:b/>
          <w:sz w:val="28"/>
          <w:szCs w:val="28"/>
        </w:rPr>
        <w:t>（1）目标层</w:t>
      </w:r>
    </w:p>
    <w:p>
      <w:pPr>
        <w:ind w:firstLine="560"/>
        <w:rPr>
          <w:sz w:val="28"/>
          <w:szCs w:val="28"/>
        </w:rPr>
      </w:pPr>
      <w:r>
        <w:rPr>
          <w:sz w:val="28"/>
          <w:szCs w:val="28"/>
        </w:rPr>
        <w:t>目标层主要对本项目建设的目标和任务进行分析。</w:t>
      </w:r>
    </w:p>
    <w:p>
      <w:pPr>
        <w:tabs>
          <w:tab w:val="left" w:pos="1320"/>
        </w:tabs>
        <w:ind w:firstLine="562"/>
        <w:rPr>
          <w:b/>
          <w:sz w:val="28"/>
          <w:szCs w:val="28"/>
        </w:rPr>
      </w:pPr>
      <w:r>
        <w:rPr>
          <w:b/>
          <w:sz w:val="28"/>
          <w:szCs w:val="28"/>
        </w:rPr>
        <w:t>（2）业务层</w:t>
      </w:r>
    </w:p>
    <w:p>
      <w:pPr>
        <w:ind w:firstLine="560"/>
        <w:rPr>
          <w:sz w:val="28"/>
          <w:szCs w:val="28"/>
        </w:rPr>
      </w:pPr>
      <w:r>
        <w:rPr>
          <w:sz w:val="28"/>
          <w:szCs w:val="28"/>
        </w:rPr>
        <w:t>业务层是在目标分析的基础上，根据危险废物管理的业务特点，对危险废物管理业务进行分析和分解，并根据业务特点进行信息化应用系统的建设。</w:t>
      </w:r>
    </w:p>
    <w:p>
      <w:pPr>
        <w:ind w:firstLine="560"/>
        <w:rPr>
          <w:sz w:val="28"/>
          <w:szCs w:val="28"/>
        </w:rPr>
      </w:pPr>
      <w:r>
        <w:rPr>
          <w:sz w:val="28"/>
          <w:szCs w:val="28"/>
        </w:rPr>
        <w:t>环境业务框架是对危险废物管理业务功能进行总体设计和全景式展示，设计的结果是一个由业务域、业务线和核心业务组成的阶梯式结构，其中，业务线设计是关键，业务事项是基础。</w:t>
      </w:r>
    </w:p>
    <w:p>
      <w:pPr>
        <w:tabs>
          <w:tab w:val="left" w:pos="1320"/>
        </w:tabs>
        <w:ind w:firstLine="562"/>
        <w:rPr>
          <w:b/>
          <w:sz w:val="28"/>
          <w:szCs w:val="28"/>
        </w:rPr>
      </w:pPr>
      <w:r>
        <w:rPr>
          <w:b/>
          <w:sz w:val="28"/>
          <w:szCs w:val="28"/>
        </w:rPr>
        <w:t>（3）数据层</w:t>
      </w:r>
    </w:p>
    <w:p>
      <w:pPr>
        <w:ind w:firstLine="560"/>
        <w:rPr>
          <w:sz w:val="28"/>
          <w:szCs w:val="28"/>
        </w:rPr>
      </w:pPr>
      <w:r>
        <w:rPr>
          <w:sz w:val="28"/>
          <w:szCs w:val="28"/>
        </w:rPr>
        <w:t>危险废物管理涉及业务纷繁复杂，数据类型十分多样，维度多、尺度多、涉及面广。在数据层中，按照数据的主题进行划分，分成各个主题数据库。</w:t>
      </w:r>
    </w:p>
    <w:p>
      <w:pPr>
        <w:tabs>
          <w:tab w:val="left" w:pos="1320"/>
        </w:tabs>
        <w:ind w:firstLine="562"/>
        <w:rPr>
          <w:b/>
          <w:sz w:val="28"/>
          <w:szCs w:val="28"/>
        </w:rPr>
      </w:pPr>
      <w:r>
        <w:rPr>
          <w:b/>
          <w:sz w:val="28"/>
          <w:szCs w:val="28"/>
        </w:rPr>
        <w:t>（4）系统层</w:t>
      </w:r>
    </w:p>
    <w:p>
      <w:pPr>
        <w:ind w:firstLine="560"/>
        <w:rPr>
          <w:sz w:val="28"/>
          <w:szCs w:val="28"/>
        </w:rPr>
      </w:pPr>
      <w:r>
        <w:rPr>
          <w:sz w:val="28"/>
          <w:szCs w:val="28"/>
        </w:rPr>
        <w:t>保定市危险废物智能监管平台架构围绕业务发展目标，根据危险废物业务需求，确定应用发展方向和应用系统类，确保系统建设应用与环境主管部门发展目标和中心任务的相一致，增强平台建设对政府履职的支撑服务能力。有效合理地组织管理危险废物业务和数据，为环保业务目标服务，提高政府的管理和服务能力，因此在业务框架和数据架构确定后层层梳理分析。</w:t>
      </w:r>
    </w:p>
    <w:p>
      <w:pPr>
        <w:tabs>
          <w:tab w:val="left" w:pos="1320"/>
        </w:tabs>
        <w:ind w:firstLine="562"/>
        <w:rPr>
          <w:b/>
          <w:sz w:val="28"/>
          <w:szCs w:val="28"/>
        </w:rPr>
      </w:pPr>
      <w:r>
        <w:rPr>
          <w:b/>
          <w:sz w:val="28"/>
          <w:szCs w:val="28"/>
        </w:rPr>
        <w:t>（5）服务层</w:t>
      </w:r>
    </w:p>
    <w:p>
      <w:pPr>
        <w:ind w:firstLine="560"/>
        <w:rPr>
          <w:sz w:val="28"/>
          <w:szCs w:val="28"/>
        </w:rPr>
      </w:pPr>
      <w:r>
        <w:rPr>
          <w:sz w:val="28"/>
          <w:szCs w:val="28"/>
        </w:rPr>
        <w:t>服务层主要定义一系列的服务组件，这些服务组件成为危险废物业务系统的组成构件。针对业务系统进行应用时，通过对各个服务组件进行调用。</w:t>
      </w:r>
    </w:p>
    <w:p>
      <w:pPr>
        <w:tabs>
          <w:tab w:val="left" w:pos="1320"/>
        </w:tabs>
        <w:ind w:firstLine="562"/>
        <w:rPr>
          <w:b/>
          <w:sz w:val="28"/>
          <w:szCs w:val="28"/>
        </w:rPr>
      </w:pPr>
      <w:r>
        <w:rPr>
          <w:b/>
          <w:sz w:val="28"/>
          <w:szCs w:val="28"/>
        </w:rPr>
        <w:t>（6）技术层</w:t>
      </w:r>
    </w:p>
    <w:p>
      <w:pPr>
        <w:ind w:firstLine="560"/>
        <w:rPr>
          <w:sz w:val="28"/>
          <w:szCs w:val="28"/>
        </w:rPr>
      </w:pPr>
      <w:r>
        <w:rPr>
          <w:sz w:val="28"/>
          <w:szCs w:val="28"/>
        </w:rPr>
        <w:t>技术层主要将危险废物智能监管平台建设应用的各种技术进行抽取，对其建设需要的网络、服务器、数据交换技术、安全技术等进行设计。</w:t>
      </w:r>
    </w:p>
    <w:p>
      <w:pPr>
        <w:pStyle w:val="5"/>
      </w:pPr>
      <w:r>
        <w:t>数据系统建设</w:t>
      </w:r>
    </w:p>
    <w:p>
      <w:pPr>
        <w:pStyle w:val="6"/>
      </w:pPr>
      <w:r>
        <w:t>数据支撑平台</w:t>
      </w:r>
    </w:p>
    <w:p>
      <w:pPr>
        <w:ind w:firstLine="560"/>
        <w:rPr>
          <w:sz w:val="28"/>
          <w:szCs w:val="28"/>
        </w:rPr>
      </w:pPr>
      <w:r>
        <w:rPr>
          <w:sz w:val="28"/>
          <w:szCs w:val="28"/>
        </w:rPr>
        <w:t>数据支撑平台建设包括四大核心模块，分别为数据智能采集、数据信息存储、数据仓库、数据管理。</w:t>
      </w:r>
    </w:p>
    <w:p>
      <w:pPr>
        <w:pStyle w:val="6"/>
      </w:pPr>
      <w:r>
        <w:t>数据库设计</w:t>
      </w:r>
    </w:p>
    <w:p>
      <w:pPr>
        <w:ind w:firstLine="560"/>
        <w:rPr>
          <w:sz w:val="28"/>
          <w:szCs w:val="28"/>
        </w:rPr>
      </w:pPr>
      <w:r>
        <w:rPr>
          <w:sz w:val="28"/>
          <w:szCs w:val="28"/>
        </w:rPr>
        <w:t>根据本项目信息资源需求和系统功能需求，为提升数据管理能力，将对核心数据资源库开展如下方式的物理结构设计、子库划分设计和数据库优化工作。</w:t>
      </w:r>
    </w:p>
    <w:p>
      <w:pPr>
        <w:pStyle w:val="7"/>
      </w:pPr>
      <w:r>
        <w:t>数据库物理设计</w:t>
      </w:r>
    </w:p>
    <w:p>
      <w:pPr>
        <w:ind w:firstLine="560"/>
        <w:rPr>
          <w:sz w:val="28"/>
          <w:szCs w:val="28"/>
        </w:rPr>
      </w:pPr>
      <w:r>
        <w:rPr>
          <w:sz w:val="28"/>
          <w:szCs w:val="28"/>
        </w:rPr>
        <w:t>物理设计包括了逻辑模型中各种实体表的具体化，例如表的数据结构类型、索引策略、数据存放位置和数据存储分配等。在进行物理模型的设计实现时，所考虑的因素有：I/O存取时间、空间利用率及维护的代价。</w:t>
      </w:r>
    </w:p>
    <w:p>
      <w:pPr>
        <w:ind w:firstLine="560"/>
        <w:rPr>
          <w:sz w:val="28"/>
          <w:szCs w:val="28"/>
        </w:rPr>
      </w:pPr>
      <w:r>
        <w:rPr>
          <w:sz w:val="28"/>
          <w:szCs w:val="28"/>
        </w:rPr>
        <w:t>（1）物理模型</w:t>
      </w:r>
    </w:p>
    <w:p>
      <w:pPr>
        <w:ind w:firstLine="560"/>
        <w:rPr>
          <w:sz w:val="28"/>
          <w:szCs w:val="28"/>
        </w:rPr>
      </w:pPr>
      <w:r>
        <w:rPr>
          <w:sz w:val="28"/>
          <w:szCs w:val="28"/>
        </w:rPr>
        <w:t>为确定物理模型，首先全面了解所选用的数据库管理系统，特别是存储结构和存取方法；其次了解数据环境、 数据的使用频率、使用方式、数据规模及响应时间要求等，这些都是对时间和空间效率进行平衡和优化的重要依据；最后还需要了解外部存储设备的特征。只有这样才能在数据的存储需求与外部存储设备条件两者之间获得平衡。</w:t>
      </w:r>
    </w:p>
    <w:p>
      <w:pPr>
        <w:ind w:firstLine="560"/>
        <w:rPr>
          <w:sz w:val="28"/>
          <w:szCs w:val="28"/>
        </w:rPr>
      </w:pPr>
      <w:r>
        <w:rPr>
          <w:sz w:val="28"/>
          <w:szCs w:val="28"/>
        </w:rPr>
        <w:t>在物理设计时，常常要按数据的重要性、使用频率及对反应时间的要求进行分类，并将不同类型的数据分别存储在不同的存储设备中。重要性高、经常存取并对反应时间要求高的数据存放在高速存储设备上；存取频率低或对存取响应时间要求低的数据则可存放在低速存储设备上。另外，在设计时还要考虑数据在特定存储介质上的布局。</w:t>
      </w:r>
    </w:p>
    <w:p>
      <w:pPr>
        <w:ind w:firstLine="560"/>
        <w:rPr>
          <w:sz w:val="28"/>
          <w:szCs w:val="28"/>
        </w:rPr>
      </w:pPr>
      <w:r>
        <w:rPr>
          <w:sz w:val="28"/>
          <w:szCs w:val="28"/>
        </w:rPr>
        <w:t>（2）设计索引策略</w:t>
      </w:r>
    </w:p>
    <w:p>
      <w:pPr>
        <w:ind w:firstLine="560"/>
        <w:rPr>
          <w:sz w:val="28"/>
          <w:szCs w:val="28"/>
        </w:rPr>
      </w:pPr>
      <w:r>
        <w:rPr>
          <w:sz w:val="28"/>
          <w:szCs w:val="28"/>
        </w:rPr>
        <w:t>本项目数据库的数据量很大，因而需要对数据的存取路径进行仔细地设计和选择，设计索引结构来提高数据存取效率。考虑对各个数据存储建立专用的索引和复杂的索引，以获取较高的存取效率，虽然建立它们需要付出一定的代价，但建立后一般不需要过多的维护。</w:t>
      </w:r>
    </w:p>
    <w:p>
      <w:pPr>
        <w:ind w:firstLine="560"/>
        <w:rPr>
          <w:sz w:val="28"/>
          <w:szCs w:val="28"/>
        </w:rPr>
      </w:pPr>
      <w:r>
        <w:rPr>
          <w:sz w:val="28"/>
          <w:szCs w:val="28"/>
        </w:rPr>
        <w:t>（3）存储策略设计</w:t>
      </w:r>
    </w:p>
    <w:p>
      <w:pPr>
        <w:ind w:firstLine="560"/>
        <w:rPr>
          <w:sz w:val="28"/>
          <w:szCs w:val="28"/>
        </w:rPr>
      </w:pPr>
      <w:r>
        <w:rPr>
          <w:sz w:val="28"/>
          <w:szCs w:val="28"/>
        </w:rPr>
        <w:t>确定数据的存储结构和表的索引结构后，需要进一步确定数据的存储位置和存储策略，以提高系统的I/O效率。</w:t>
      </w:r>
    </w:p>
    <w:p>
      <w:pPr>
        <w:pStyle w:val="7"/>
      </w:pPr>
      <w:r>
        <w:t>数据库优化设计</w:t>
      </w:r>
    </w:p>
    <w:p>
      <w:pPr>
        <w:ind w:firstLine="560"/>
        <w:rPr>
          <w:sz w:val="28"/>
          <w:szCs w:val="28"/>
        </w:rPr>
      </w:pPr>
      <w:r>
        <w:rPr>
          <w:sz w:val="28"/>
          <w:szCs w:val="28"/>
        </w:rPr>
        <w:t>（1）数据模型优化</w:t>
      </w:r>
    </w:p>
    <w:p>
      <w:pPr>
        <w:ind w:firstLine="560"/>
        <w:rPr>
          <w:sz w:val="28"/>
          <w:szCs w:val="28"/>
        </w:rPr>
      </w:pPr>
      <w:r>
        <w:rPr>
          <w:sz w:val="28"/>
          <w:szCs w:val="28"/>
        </w:rPr>
        <w:t>通过规划基础业务支撑层，上层应用的取数尽量从支撑层中取数，这样既保证了取数口径的一致性，从系统设计上为保证应用数据质量提供了基础，同时减少了数据的重复汇总，减少了对系统资源的开销，从而减少资源争用的情况，从侧面提高单个应用的处理效率。</w:t>
      </w:r>
    </w:p>
    <w:p>
      <w:pPr>
        <w:ind w:firstLine="560"/>
        <w:rPr>
          <w:sz w:val="28"/>
          <w:szCs w:val="28"/>
        </w:rPr>
      </w:pPr>
      <w:r>
        <w:rPr>
          <w:sz w:val="28"/>
          <w:szCs w:val="28"/>
        </w:rPr>
        <w:t>（2）数据处理优化</w:t>
      </w:r>
    </w:p>
    <w:p>
      <w:pPr>
        <w:ind w:firstLine="560"/>
        <w:rPr>
          <w:sz w:val="28"/>
          <w:szCs w:val="28"/>
        </w:rPr>
      </w:pPr>
      <w:r>
        <w:rPr>
          <w:sz w:val="28"/>
          <w:szCs w:val="28"/>
        </w:rPr>
        <w:t>定期完成以下工作：数据库服务器资源(CPU、内存、IO)使用监控和优化；SQL监控和优化；每天运行时间超过2小时的任务列表的监控和优化；存储利用率监控和优化、数据倾斜度监控和优化等。</w:t>
      </w:r>
    </w:p>
    <w:p>
      <w:pPr>
        <w:ind w:firstLine="560"/>
        <w:rPr>
          <w:sz w:val="28"/>
          <w:szCs w:val="28"/>
        </w:rPr>
      </w:pPr>
      <w:r>
        <w:rPr>
          <w:sz w:val="28"/>
          <w:szCs w:val="28"/>
        </w:rPr>
        <w:t>进一步加强这些工作的自动化和智能化，如对数据处理任务进行分析，动态管理任务运行基准，提供相应报表、多维分析和即席查洵和报警机制，通过对有性能问题的任务进行问题分析，并提出优化方案，并按相应流程实施。</w:t>
      </w:r>
    </w:p>
    <w:p>
      <w:pPr>
        <w:ind w:firstLine="560"/>
        <w:rPr>
          <w:sz w:val="28"/>
          <w:szCs w:val="28"/>
        </w:rPr>
      </w:pPr>
      <w:r>
        <w:rPr>
          <w:sz w:val="28"/>
          <w:szCs w:val="28"/>
        </w:rPr>
        <w:t>（3）数据存储优化</w:t>
      </w:r>
    </w:p>
    <w:p>
      <w:pPr>
        <w:ind w:firstLine="560"/>
        <w:rPr>
          <w:sz w:val="28"/>
          <w:szCs w:val="28"/>
        </w:rPr>
      </w:pPr>
      <w:r>
        <w:rPr>
          <w:sz w:val="28"/>
          <w:szCs w:val="28"/>
        </w:rPr>
        <w:t>对于数据压缩优化方案，系统除了提供进行数据压缩方法，供管理员自动或手动执行。</w:t>
      </w:r>
    </w:p>
    <w:p>
      <w:pPr>
        <w:pStyle w:val="7"/>
      </w:pPr>
      <w:r>
        <w:t>数据库安全设计</w:t>
      </w:r>
    </w:p>
    <w:p>
      <w:pPr>
        <w:ind w:firstLine="560"/>
        <w:rPr>
          <w:sz w:val="28"/>
          <w:szCs w:val="28"/>
        </w:rPr>
      </w:pPr>
      <w:r>
        <w:rPr>
          <w:sz w:val="28"/>
          <w:szCs w:val="28"/>
        </w:rPr>
        <w:t>为了保证数据库数据的安全可靠性和正确有效，数据库管理系统必须提供统一的数据保护功能。数据保护也称为数据控制，主要包括数据库的安全性、完整性、并发控制和恢复。</w:t>
      </w:r>
    </w:p>
    <w:p>
      <w:pPr>
        <w:pStyle w:val="4"/>
      </w:pPr>
      <w:bookmarkStart w:id="76" w:name="_Toc97654070"/>
      <w:bookmarkStart w:id="77" w:name="_Toc81322759"/>
      <w:r>
        <w:t>数据交换共享建设方案</w:t>
      </w:r>
      <w:bookmarkEnd w:id="76"/>
      <w:bookmarkEnd w:id="77"/>
    </w:p>
    <w:p>
      <w:pPr>
        <w:pStyle w:val="5"/>
      </w:pPr>
      <w:r>
        <w:t>与省平台数据交换共享</w:t>
      </w:r>
    </w:p>
    <w:p>
      <w:pPr>
        <w:ind w:firstLine="560"/>
        <w:rPr>
          <w:sz w:val="28"/>
          <w:szCs w:val="28"/>
        </w:rPr>
      </w:pPr>
      <w:r>
        <w:rPr>
          <w:sz w:val="28"/>
          <w:szCs w:val="28"/>
        </w:rPr>
        <w:t>依托数据共享服务接口与河北省固体废物动态信息监控平台进行对接共享，企业端仍然在省级平台上报相应数据，开发保定市危险废物智能监控平台，省级系统将保定市危废数据回流到本平台中，提供涉保定市企业基本信息、企业贮存点信息、危险废物经营许可证、产废企业月报、危险废物转移联单、经营单位日报等。</w:t>
      </w:r>
    </w:p>
    <w:p>
      <w:pPr>
        <w:pStyle w:val="6"/>
      </w:pPr>
      <w:r>
        <w:t>共享数据信息</w:t>
      </w:r>
    </w:p>
    <w:p>
      <w:pPr>
        <w:ind w:firstLine="560"/>
        <w:rPr>
          <w:sz w:val="28"/>
          <w:szCs w:val="28"/>
        </w:rPr>
      </w:pPr>
      <w:r>
        <w:rPr>
          <w:sz w:val="28"/>
          <w:szCs w:val="28"/>
        </w:rPr>
        <w:t>（1）企业基本信息</w:t>
      </w:r>
    </w:p>
    <w:p>
      <w:pPr>
        <w:ind w:firstLine="560"/>
        <w:rPr>
          <w:sz w:val="28"/>
          <w:szCs w:val="28"/>
        </w:rPr>
      </w:pPr>
      <w:r>
        <w:rPr>
          <w:sz w:val="28"/>
          <w:szCs w:val="28"/>
        </w:rPr>
        <w:t>企业基本信息包含但不限于以下数据项：企业名称、组织机构代码、行业编码、行业名称、行政区编码、行政区名称、年产废规模、联系人、联系人电话、工商注册地址、是否危废产生单位、是否危废经营单位、企业状态、接入时间等。</w:t>
      </w:r>
    </w:p>
    <w:p>
      <w:pPr>
        <w:ind w:firstLine="560"/>
        <w:rPr>
          <w:sz w:val="28"/>
          <w:szCs w:val="28"/>
        </w:rPr>
      </w:pPr>
      <w:r>
        <w:rPr>
          <w:sz w:val="28"/>
          <w:szCs w:val="28"/>
        </w:rPr>
        <w:t>（2）企业贮存点信息</w:t>
      </w:r>
    </w:p>
    <w:p>
      <w:pPr>
        <w:ind w:firstLine="560"/>
        <w:rPr>
          <w:sz w:val="28"/>
          <w:szCs w:val="28"/>
        </w:rPr>
      </w:pPr>
      <w:r>
        <w:rPr>
          <w:sz w:val="28"/>
          <w:szCs w:val="28"/>
        </w:rPr>
        <w:t>企业贮存点信息包含但不限于以下数据项：企业名称、仓库名称、占地面积、面积单位、容量、容量单位、负责人、负责人手机号码等。</w:t>
      </w:r>
    </w:p>
    <w:p>
      <w:pPr>
        <w:ind w:firstLine="560"/>
        <w:rPr>
          <w:sz w:val="28"/>
          <w:szCs w:val="28"/>
        </w:rPr>
      </w:pPr>
      <w:r>
        <w:rPr>
          <w:sz w:val="28"/>
          <w:szCs w:val="28"/>
        </w:rPr>
        <w:t>（3）危险废物经营许可证</w:t>
      </w:r>
    </w:p>
    <w:p>
      <w:pPr>
        <w:ind w:firstLine="560"/>
        <w:rPr>
          <w:sz w:val="28"/>
          <w:szCs w:val="28"/>
        </w:rPr>
      </w:pPr>
      <w:r>
        <w:rPr>
          <w:sz w:val="28"/>
          <w:szCs w:val="28"/>
        </w:rPr>
        <w:t>危险废物经营许可证包含但不限于以下数据项：年份、发证机构、首次发证日期、许可证号、有效开始日期、有效截止日期、处置方式、许可证状态、年核准量、年核准量（单位）、许可危废信息、停用日期等。</w:t>
      </w:r>
    </w:p>
    <w:p>
      <w:pPr>
        <w:ind w:firstLine="560"/>
        <w:rPr>
          <w:sz w:val="28"/>
          <w:szCs w:val="28"/>
        </w:rPr>
      </w:pPr>
      <w:r>
        <w:rPr>
          <w:sz w:val="28"/>
          <w:szCs w:val="28"/>
        </w:rPr>
        <w:t>（4）产废企业月报</w:t>
      </w:r>
    </w:p>
    <w:p>
      <w:pPr>
        <w:ind w:firstLine="560"/>
        <w:rPr>
          <w:sz w:val="28"/>
          <w:szCs w:val="28"/>
        </w:rPr>
      </w:pPr>
      <w:r>
        <w:rPr>
          <w:sz w:val="28"/>
          <w:szCs w:val="28"/>
        </w:rPr>
        <w:t>产废企业月报包含但不限于以下数据项：年月、危废大类编码、危废编码、危废特性、产生量、贮存量、自行处置利用量、转出外单位处置利用量等。</w:t>
      </w:r>
    </w:p>
    <w:p>
      <w:pPr>
        <w:ind w:firstLine="560"/>
        <w:rPr>
          <w:sz w:val="28"/>
          <w:szCs w:val="28"/>
        </w:rPr>
      </w:pPr>
      <w:r>
        <w:rPr>
          <w:sz w:val="28"/>
          <w:szCs w:val="28"/>
        </w:rPr>
        <w:t>（5）危险废物转移联单</w:t>
      </w:r>
    </w:p>
    <w:p>
      <w:pPr>
        <w:ind w:firstLine="560"/>
        <w:rPr>
          <w:sz w:val="28"/>
          <w:szCs w:val="28"/>
        </w:rPr>
      </w:pPr>
      <w:r>
        <w:rPr>
          <w:sz w:val="28"/>
          <w:szCs w:val="28"/>
        </w:rPr>
        <w:t>危险废物转移联单包含但不限于以下数据项：联单编码、转出行政区编码、接收行政区编码、创建日期、转移日期、接收日期、危废编码、废物名称、处置方式、联单状态、转移单位名称、接收单位名称、接收单位许可证、运输单位名称、运输单位联系人、运输单位联系人电话、运输车辆车牌等。</w:t>
      </w:r>
    </w:p>
    <w:p>
      <w:pPr>
        <w:ind w:firstLine="560"/>
        <w:rPr>
          <w:sz w:val="28"/>
          <w:szCs w:val="28"/>
        </w:rPr>
      </w:pPr>
      <w:r>
        <w:rPr>
          <w:sz w:val="28"/>
          <w:szCs w:val="28"/>
        </w:rPr>
        <w:t>（6）经营单位日报</w:t>
      </w:r>
    </w:p>
    <w:p>
      <w:pPr>
        <w:ind w:firstLine="560"/>
        <w:rPr>
          <w:sz w:val="28"/>
          <w:szCs w:val="28"/>
        </w:rPr>
      </w:pPr>
      <w:r>
        <w:rPr>
          <w:sz w:val="28"/>
          <w:szCs w:val="28"/>
        </w:rPr>
        <w:t>经营单位日报包含但不限于以下数据项：日期、危废大类编码、危废编码、危废特性、处置方式、接收量、贮存量、处置利用量、转出量、计量单位等。</w:t>
      </w:r>
    </w:p>
    <w:p>
      <w:pPr>
        <w:pStyle w:val="6"/>
      </w:pPr>
      <w:r>
        <w:t>数据交换共享方案</w:t>
      </w:r>
    </w:p>
    <w:p>
      <w:pPr>
        <w:ind w:firstLine="560"/>
        <w:rPr>
          <w:sz w:val="28"/>
          <w:szCs w:val="28"/>
        </w:rPr>
      </w:pPr>
      <w:r>
        <w:rPr>
          <w:sz w:val="28"/>
          <w:szCs w:val="28"/>
        </w:rPr>
        <w:t>提供标准接口一套，实现与省固废平台危废相关数据对接。</w:t>
      </w:r>
    </w:p>
    <w:p>
      <w:pPr>
        <w:ind w:firstLine="560"/>
        <w:rPr>
          <w:sz w:val="28"/>
          <w:szCs w:val="28"/>
        </w:rPr>
      </w:pPr>
      <w:r>
        <w:rPr>
          <w:sz w:val="28"/>
          <w:szCs w:val="28"/>
        </w:rPr>
        <w:t>接口配置说明如下：</w:t>
      </w:r>
    </w:p>
    <w:p>
      <w:pPr>
        <w:ind w:firstLine="560"/>
        <w:rPr>
          <w:sz w:val="28"/>
          <w:szCs w:val="28"/>
        </w:rPr>
      </w:pPr>
      <w:r>
        <w:rPr>
          <w:sz w:val="28"/>
          <w:szCs w:val="28"/>
        </w:rPr>
        <w:t>（1）请求地址</w:t>
      </w:r>
    </w:p>
    <w:p>
      <w:pPr>
        <w:ind w:firstLine="560"/>
        <w:rPr>
          <w:sz w:val="28"/>
          <w:szCs w:val="28"/>
        </w:rPr>
      </w:pPr>
      <w:r>
        <w:rPr>
          <w:sz w:val="28"/>
          <w:szCs w:val="28"/>
        </w:rPr>
        <w:t>http://ip:port/region/system/resource/listByDynamicParam测试环境外网地址</w:t>
      </w:r>
    </w:p>
    <w:p>
      <w:pPr>
        <w:ind w:firstLine="560"/>
        <w:rPr>
          <w:sz w:val="28"/>
          <w:szCs w:val="28"/>
        </w:rPr>
      </w:pPr>
      <w:r>
        <w:rPr>
          <w:sz w:val="28"/>
          <w:szCs w:val="28"/>
        </w:rPr>
        <w:t>（2）请求类型</w:t>
      </w:r>
    </w:p>
    <w:p>
      <w:pPr>
        <w:ind w:firstLine="560"/>
        <w:rPr>
          <w:sz w:val="28"/>
          <w:szCs w:val="28"/>
        </w:rPr>
      </w:pPr>
      <w:r>
        <w:rPr>
          <w:sz w:val="28"/>
          <w:szCs w:val="28"/>
        </w:rPr>
        <w:t>http post请求</w:t>
      </w:r>
    </w:p>
    <w:p>
      <w:pPr>
        <w:ind w:firstLine="560"/>
        <w:rPr>
          <w:sz w:val="28"/>
          <w:szCs w:val="28"/>
        </w:rPr>
      </w:pPr>
      <w:r>
        <w:rPr>
          <w:sz w:val="28"/>
          <w:szCs w:val="28"/>
        </w:rPr>
        <w:t>（3）请求参数格式</w:t>
      </w:r>
    </w:p>
    <w:p>
      <w:pPr>
        <w:ind w:firstLine="560"/>
        <w:rPr>
          <w:sz w:val="28"/>
          <w:szCs w:val="28"/>
        </w:rPr>
      </w:pPr>
      <w:r>
        <w:rPr>
          <w:sz w:val="28"/>
          <w:szCs w:val="28"/>
        </w:rPr>
        <w:t>JSON格式</w:t>
      </w:r>
    </w:p>
    <w:p>
      <w:pPr>
        <w:ind w:firstLine="560"/>
        <w:rPr>
          <w:sz w:val="28"/>
          <w:szCs w:val="28"/>
        </w:rPr>
      </w:pPr>
      <w:r>
        <w:rPr>
          <w:sz w:val="28"/>
          <w:szCs w:val="28"/>
        </w:rPr>
        <w:t>（4）求返回值格式</w:t>
      </w:r>
    </w:p>
    <w:p>
      <w:pPr>
        <w:ind w:firstLine="560"/>
        <w:rPr>
          <w:sz w:val="28"/>
          <w:szCs w:val="28"/>
        </w:rPr>
      </w:pPr>
      <w:r>
        <w:rPr>
          <w:sz w:val="28"/>
          <w:szCs w:val="28"/>
        </w:rPr>
        <w:t>JSON格式</w:t>
      </w:r>
    </w:p>
    <w:p>
      <w:pPr>
        <w:ind w:firstLine="560"/>
        <w:rPr>
          <w:sz w:val="28"/>
          <w:szCs w:val="28"/>
        </w:rPr>
      </w:pPr>
      <w:r>
        <w:rPr>
          <w:sz w:val="28"/>
          <w:szCs w:val="28"/>
        </w:rPr>
        <w:t>（5）请求通用参数</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518"/>
        <w:gridCol w:w="3085"/>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948" w:type="pct"/>
            <w:shd w:val="clear" w:color="auto" w:fill="D0CECE"/>
            <w:vAlign w:val="bottom"/>
          </w:tcPr>
          <w:p>
            <w:pPr>
              <w:pStyle w:val="114"/>
              <w:rPr>
                <w:szCs w:val="28"/>
              </w:rPr>
            </w:pPr>
            <w:r>
              <w:rPr>
                <w:szCs w:val="28"/>
              </w:rPr>
              <w:t>参数</w:t>
            </w:r>
          </w:p>
        </w:tc>
        <w:tc>
          <w:tcPr>
            <w:tcW w:w="1362" w:type="pct"/>
            <w:shd w:val="clear" w:color="auto" w:fill="D0CECE"/>
            <w:vAlign w:val="bottom"/>
          </w:tcPr>
          <w:p>
            <w:pPr>
              <w:pStyle w:val="114"/>
              <w:rPr>
                <w:szCs w:val="28"/>
              </w:rPr>
            </w:pPr>
            <w:r>
              <w:rPr>
                <w:szCs w:val="28"/>
              </w:rPr>
              <w:t>参数说明</w:t>
            </w:r>
          </w:p>
        </w:tc>
        <w:tc>
          <w:tcPr>
            <w:tcW w:w="1669" w:type="pct"/>
            <w:shd w:val="clear" w:color="auto" w:fill="D0CECE"/>
            <w:vAlign w:val="bottom"/>
          </w:tcPr>
          <w:p>
            <w:pPr>
              <w:pStyle w:val="114"/>
              <w:rPr>
                <w:szCs w:val="28"/>
              </w:rPr>
            </w:pPr>
            <w:r>
              <w:rPr>
                <w:szCs w:val="28"/>
              </w:rPr>
              <w:t>参考值</w:t>
            </w:r>
          </w:p>
        </w:tc>
        <w:tc>
          <w:tcPr>
            <w:tcW w:w="1021" w:type="pct"/>
            <w:shd w:val="clear" w:color="auto" w:fill="D0CECE"/>
            <w:vAlign w:val="bottom"/>
          </w:tcPr>
          <w:p>
            <w:pPr>
              <w:pStyle w:val="114"/>
              <w:rPr>
                <w:szCs w:val="28"/>
              </w:rPr>
            </w:pPr>
            <w:r>
              <w:rPr>
                <w:szCs w:val="28"/>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948" w:type="pct"/>
            <w:vAlign w:val="bottom"/>
          </w:tcPr>
          <w:p>
            <w:pPr>
              <w:pStyle w:val="114"/>
              <w:rPr>
                <w:szCs w:val="28"/>
              </w:rPr>
            </w:pPr>
            <w:r>
              <w:rPr>
                <w:szCs w:val="28"/>
              </w:rPr>
              <w:t>resVer</w:t>
            </w:r>
          </w:p>
        </w:tc>
        <w:tc>
          <w:tcPr>
            <w:tcW w:w="1362" w:type="pct"/>
            <w:vAlign w:val="bottom"/>
          </w:tcPr>
          <w:p>
            <w:pPr>
              <w:pStyle w:val="114"/>
              <w:rPr>
                <w:szCs w:val="28"/>
              </w:rPr>
            </w:pPr>
            <w:r>
              <w:rPr>
                <w:szCs w:val="28"/>
              </w:rPr>
              <w:t>资源服务版本</w:t>
            </w:r>
          </w:p>
        </w:tc>
        <w:tc>
          <w:tcPr>
            <w:tcW w:w="1669" w:type="pct"/>
          </w:tcPr>
          <w:p>
            <w:pPr>
              <w:pStyle w:val="114"/>
              <w:rPr>
                <w:szCs w:val="28"/>
              </w:rPr>
            </w:pPr>
            <w:r>
              <w:rPr>
                <w:szCs w:val="28"/>
              </w:rPr>
              <w:t>1</w:t>
            </w:r>
          </w:p>
        </w:tc>
        <w:tc>
          <w:tcPr>
            <w:tcW w:w="1021" w:type="pct"/>
            <w:vAlign w:val="bottom"/>
          </w:tcPr>
          <w:p>
            <w:pPr>
              <w:pStyle w:val="114"/>
              <w:rPr>
                <w:szCs w:val="28"/>
              </w:rPr>
            </w:pPr>
            <w:r>
              <w:rPr>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948" w:type="pct"/>
            <w:vAlign w:val="bottom"/>
          </w:tcPr>
          <w:p>
            <w:pPr>
              <w:pStyle w:val="114"/>
              <w:rPr>
                <w:szCs w:val="28"/>
              </w:rPr>
            </w:pPr>
            <w:r>
              <w:rPr>
                <w:szCs w:val="28"/>
              </w:rPr>
              <w:t>certCode</w:t>
            </w:r>
          </w:p>
        </w:tc>
        <w:tc>
          <w:tcPr>
            <w:tcW w:w="1362" w:type="pct"/>
            <w:vAlign w:val="bottom"/>
          </w:tcPr>
          <w:p>
            <w:pPr>
              <w:pStyle w:val="114"/>
              <w:rPr>
                <w:szCs w:val="28"/>
              </w:rPr>
            </w:pPr>
            <w:r>
              <w:rPr>
                <w:szCs w:val="28"/>
              </w:rPr>
              <w:t>资源凭证</w:t>
            </w:r>
          </w:p>
        </w:tc>
        <w:tc>
          <w:tcPr>
            <w:tcW w:w="1669" w:type="pct"/>
          </w:tcPr>
          <w:p>
            <w:pPr>
              <w:pStyle w:val="114"/>
              <w:rPr>
                <w:szCs w:val="28"/>
              </w:rPr>
            </w:pPr>
          </w:p>
        </w:tc>
        <w:tc>
          <w:tcPr>
            <w:tcW w:w="1021" w:type="pct"/>
            <w:vAlign w:val="bottom"/>
          </w:tcPr>
          <w:p>
            <w:pPr>
              <w:pStyle w:val="114"/>
              <w:rPr>
                <w:szCs w:val="28"/>
              </w:rPr>
            </w:pPr>
            <w:r>
              <w:rPr>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948" w:type="pct"/>
            <w:vAlign w:val="bottom"/>
          </w:tcPr>
          <w:p>
            <w:pPr>
              <w:pStyle w:val="114"/>
              <w:rPr>
                <w:szCs w:val="28"/>
              </w:rPr>
            </w:pPr>
            <w:r>
              <w:rPr>
                <w:szCs w:val="28"/>
              </w:rPr>
              <w:t>resCode</w:t>
            </w:r>
          </w:p>
        </w:tc>
        <w:tc>
          <w:tcPr>
            <w:tcW w:w="1362" w:type="pct"/>
            <w:vAlign w:val="bottom"/>
          </w:tcPr>
          <w:p>
            <w:pPr>
              <w:pStyle w:val="114"/>
              <w:rPr>
                <w:szCs w:val="28"/>
              </w:rPr>
            </w:pPr>
            <w:r>
              <w:rPr>
                <w:szCs w:val="28"/>
              </w:rPr>
              <w:t>资源编码</w:t>
            </w:r>
          </w:p>
        </w:tc>
        <w:tc>
          <w:tcPr>
            <w:tcW w:w="1669" w:type="pct"/>
          </w:tcPr>
          <w:p>
            <w:pPr>
              <w:pStyle w:val="114"/>
              <w:rPr>
                <w:szCs w:val="28"/>
              </w:rPr>
            </w:pPr>
            <w:r>
              <w:rPr>
                <w:szCs w:val="28"/>
              </w:rPr>
              <w:t>S_YearProd</w:t>
            </w:r>
          </w:p>
        </w:tc>
        <w:tc>
          <w:tcPr>
            <w:tcW w:w="1021" w:type="pct"/>
            <w:vAlign w:val="bottom"/>
          </w:tcPr>
          <w:p>
            <w:pPr>
              <w:pStyle w:val="114"/>
              <w:rPr>
                <w:szCs w:val="28"/>
              </w:rPr>
            </w:pPr>
            <w:r>
              <w:rPr>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948" w:type="pct"/>
            <w:vAlign w:val="bottom"/>
          </w:tcPr>
          <w:p>
            <w:pPr>
              <w:pStyle w:val="114"/>
              <w:rPr>
                <w:szCs w:val="28"/>
              </w:rPr>
            </w:pPr>
            <w:r>
              <w:rPr>
                <w:szCs w:val="28"/>
              </w:rPr>
              <w:t>jsonParam</w:t>
            </w:r>
          </w:p>
        </w:tc>
        <w:tc>
          <w:tcPr>
            <w:tcW w:w="1362" w:type="pct"/>
            <w:vAlign w:val="bottom"/>
          </w:tcPr>
          <w:p>
            <w:pPr>
              <w:pStyle w:val="114"/>
              <w:rPr>
                <w:szCs w:val="28"/>
              </w:rPr>
            </w:pPr>
            <w:r>
              <w:rPr>
                <w:szCs w:val="28"/>
              </w:rPr>
              <w:t>Json对象</w:t>
            </w:r>
          </w:p>
        </w:tc>
        <w:tc>
          <w:tcPr>
            <w:tcW w:w="1669" w:type="pct"/>
          </w:tcPr>
          <w:p>
            <w:pPr>
              <w:pStyle w:val="114"/>
              <w:rPr>
                <w:szCs w:val="28"/>
              </w:rPr>
            </w:pPr>
          </w:p>
        </w:tc>
        <w:tc>
          <w:tcPr>
            <w:tcW w:w="1021" w:type="pct"/>
            <w:vAlign w:val="bottom"/>
          </w:tcPr>
          <w:p>
            <w:pPr>
              <w:pStyle w:val="114"/>
              <w:rPr>
                <w:szCs w:val="28"/>
              </w:rPr>
            </w:pPr>
            <w:r>
              <w:rPr>
                <w:szCs w:val="28"/>
              </w:rPr>
              <w:t>否</w:t>
            </w:r>
          </w:p>
        </w:tc>
      </w:tr>
    </w:tbl>
    <w:p>
      <w:pPr>
        <w:ind w:firstLine="560"/>
        <w:rPr>
          <w:sz w:val="28"/>
          <w:szCs w:val="28"/>
        </w:rPr>
      </w:pPr>
      <w:bookmarkStart w:id="78" w:name="_Toc56090181"/>
      <w:r>
        <w:rPr>
          <w:sz w:val="28"/>
          <w:szCs w:val="28"/>
        </w:rPr>
        <w:t>（6）返回通用参数</w:t>
      </w:r>
      <w:bookmarkEnd w:id="78"/>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2595"/>
        <w:gridCol w:w="1682"/>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字段名</w:t>
            </w:r>
          </w:p>
        </w:tc>
        <w:tc>
          <w:tcPr>
            <w:tcW w:w="1404" w:type="pct"/>
          </w:tcPr>
          <w:p>
            <w:pPr>
              <w:pStyle w:val="114"/>
              <w:rPr>
                <w:szCs w:val="28"/>
              </w:rPr>
            </w:pPr>
            <w:r>
              <w:rPr>
                <w:szCs w:val="28"/>
              </w:rPr>
              <w:t>中文说明</w:t>
            </w:r>
          </w:p>
        </w:tc>
        <w:tc>
          <w:tcPr>
            <w:tcW w:w="910" w:type="pct"/>
          </w:tcPr>
          <w:p>
            <w:pPr>
              <w:pStyle w:val="114"/>
              <w:rPr>
                <w:szCs w:val="28"/>
              </w:rPr>
            </w:pPr>
            <w:r>
              <w:rPr>
                <w:szCs w:val="28"/>
              </w:rPr>
              <w:t>字段类型</w:t>
            </w:r>
          </w:p>
        </w:tc>
        <w:tc>
          <w:tcPr>
            <w:tcW w:w="1691" w:type="pct"/>
          </w:tcPr>
          <w:p>
            <w:pPr>
              <w:pStyle w:val="114"/>
              <w:rPr>
                <w:szCs w:val="28"/>
              </w:rPr>
            </w:pPr>
            <w:r>
              <w:rPr>
                <w:szCs w:val="28"/>
              </w:rPr>
              <w:t>字段值及说明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success</w:t>
            </w:r>
          </w:p>
        </w:tc>
        <w:tc>
          <w:tcPr>
            <w:tcW w:w="1404" w:type="pct"/>
          </w:tcPr>
          <w:p>
            <w:pPr>
              <w:pStyle w:val="114"/>
              <w:rPr>
                <w:szCs w:val="28"/>
              </w:rPr>
            </w:pPr>
            <w:r>
              <w:rPr>
                <w:szCs w:val="28"/>
              </w:rPr>
              <w:t>返回状态</w:t>
            </w:r>
          </w:p>
        </w:tc>
        <w:tc>
          <w:tcPr>
            <w:tcW w:w="910" w:type="pct"/>
          </w:tcPr>
          <w:p>
            <w:pPr>
              <w:pStyle w:val="114"/>
              <w:rPr>
                <w:szCs w:val="28"/>
              </w:rPr>
            </w:pPr>
            <w:r>
              <w:rPr>
                <w:szCs w:val="28"/>
              </w:rPr>
              <w:t>Boolen</w:t>
            </w:r>
          </w:p>
        </w:tc>
        <w:tc>
          <w:tcPr>
            <w:tcW w:w="1691" w:type="pct"/>
          </w:tcPr>
          <w:p>
            <w:pPr>
              <w:pStyle w:val="114"/>
              <w:rPr>
                <w:szCs w:val="28"/>
              </w:rPr>
            </w:pPr>
            <w:r>
              <w:rPr>
                <w:szCs w:val="28"/>
              </w:rPr>
              <w:t>true:成功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msg</w:t>
            </w:r>
          </w:p>
        </w:tc>
        <w:tc>
          <w:tcPr>
            <w:tcW w:w="1404" w:type="pct"/>
          </w:tcPr>
          <w:p>
            <w:pPr>
              <w:pStyle w:val="114"/>
              <w:rPr>
                <w:szCs w:val="28"/>
              </w:rPr>
            </w:pPr>
            <w:r>
              <w:rPr>
                <w:szCs w:val="28"/>
              </w:rPr>
              <w:t>错误信息</w:t>
            </w:r>
          </w:p>
        </w:tc>
        <w:tc>
          <w:tcPr>
            <w:tcW w:w="910" w:type="pct"/>
          </w:tcPr>
          <w:p>
            <w:pPr>
              <w:pStyle w:val="114"/>
              <w:rPr>
                <w:szCs w:val="28"/>
              </w:rPr>
            </w:pPr>
            <w:r>
              <w:rPr>
                <w:szCs w:val="28"/>
              </w:rPr>
              <w:t>字符</w:t>
            </w:r>
          </w:p>
        </w:tc>
        <w:tc>
          <w:tcPr>
            <w:tcW w:w="1691" w:type="pct"/>
          </w:tcPr>
          <w:p>
            <w:pPr>
              <w:pStyle w:val="114"/>
              <w:rPr>
                <w:szCs w:val="28"/>
              </w:rPr>
            </w:pPr>
            <w:r>
              <w:rPr>
                <w:szCs w:val="28"/>
              </w:rPr>
              <w:t>异常或失败信息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code</w:t>
            </w:r>
          </w:p>
        </w:tc>
        <w:tc>
          <w:tcPr>
            <w:tcW w:w="1404" w:type="pct"/>
          </w:tcPr>
          <w:p>
            <w:pPr>
              <w:pStyle w:val="114"/>
              <w:rPr>
                <w:szCs w:val="28"/>
              </w:rPr>
            </w:pPr>
            <w:r>
              <w:rPr>
                <w:szCs w:val="28"/>
              </w:rPr>
              <w:t>错误代码</w:t>
            </w: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extend</w:t>
            </w:r>
          </w:p>
        </w:tc>
        <w:tc>
          <w:tcPr>
            <w:tcW w:w="1404" w:type="pct"/>
          </w:tcPr>
          <w:p>
            <w:pPr>
              <w:pStyle w:val="114"/>
              <w:rPr>
                <w:szCs w:val="28"/>
              </w:rPr>
            </w:pP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obj</w:t>
            </w:r>
          </w:p>
        </w:tc>
        <w:tc>
          <w:tcPr>
            <w:tcW w:w="1404" w:type="pct"/>
          </w:tcPr>
          <w:p>
            <w:pPr>
              <w:pStyle w:val="114"/>
              <w:rPr>
                <w:szCs w:val="28"/>
              </w:rPr>
            </w:pP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sysMsg</w:t>
            </w:r>
          </w:p>
        </w:tc>
        <w:tc>
          <w:tcPr>
            <w:tcW w:w="1404" w:type="pct"/>
          </w:tcPr>
          <w:p>
            <w:pPr>
              <w:pStyle w:val="114"/>
              <w:rPr>
                <w:szCs w:val="28"/>
              </w:rPr>
            </w:pP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total</w:t>
            </w:r>
          </w:p>
        </w:tc>
        <w:tc>
          <w:tcPr>
            <w:tcW w:w="1404" w:type="pct"/>
          </w:tcPr>
          <w:p>
            <w:pPr>
              <w:pStyle w:val="114"/>
              <w:rPr>
                <w:szCs w:val="28"/>
              </w:rPr>
            </w:pPr>
            <w:r>
              <w:rPr>
                <w:szCs w:val="28"/>
              </w:rPr>
              <w:t>分页总条数</w:t>
            </w: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data</w:t>
            </w:r>
          </w:p>
        </w:tc>
        <w:tc>
          <w:tcPr>
            <w:tcW w:w="1404" w:type="pct"/>
          </w:tcPr>
          <w:p>
            <w:pPr>
              <w:pStyle w:val="114"/>
              <w:rPr>
                <w:szCs w:val="28"/>
              </w:rPr>
            </w:pPr>
            <w:r>
              <w:rPr>
                <w:szCs w:val="28"/>
              </w:rPr>
              <w:t>返回参数</w:t>
            </w:r>
          </w:p>
        </w:tc>
        <w:tc>
          <w:tcPr>
            <w:tcW w:w="910" w:type="pct"/>
          </w:tcPr>
          <w:p>
            <w:pPr>
              <w:pStyle w:val="114"/>
              <w:rPr>
                <w:szCs w:val="28"/>
              </w:rPr>
            </w:pPr>
          </w:p>
        </w:tc>
        <w:tc>
          <w:tcPr>
            <w:tcW w:w="1691" w:type="pct"/>
          </w:tcPr>
          <w:p>
            <w:pPr>
              <w:pStyle w:val="114"/>
              <w:rPr>
                <w:szCs w:val="28"/>
              </w:rPr>
            </w:pPr>
          </w:p>
        </w:tc>
      </w:tr>
    </w:tbl>
    <w:p>
      <w:pPr>
        <w:ind w:firstLine="560"/>
        <w:rPr>
          <w:sz w:val="28"/>
          <w:szCs w:val="28"/>
        </w:rPr>
      </w:pPr>
    </w:p>
    <w:p>
      <w:pPr>
        <w:pStyle w:val="5"/>
      </w:pPr>
      <w:r>
        <w:t>横向跨部门数据交换共享</w:t>
      </w:r>
    </w:p>
    <w:p>
      <w:pPr>
        <w:ind w:firstLine="560"/>
        <w:rPr>
          <w:sz w:val="28"/>
          <w:szCs w:val="28"/>
        </w:rPr>
      </w:pPr>
      <w:bookmarkStart w:id="79" w:name="_Hlk67060575"/>
      <w:r>
        <w:rPr>
          <w:sz w:val="28"/>
          <w:szCs w:val="28"/>
        </w:rPr>
        <w:t>河北省交通运输厅可将危险废物运输车辆GPS数据共享至河北省生态环境厅数据资源中心，本平台提供标准接口一套，用于请求危险废物运输车辆GPS数据。</w:t>
      </w:r>
    </w:p>
    <w:p>
      <w:pPr>
        <w:spacing w:line="560" w:lineRule="exact"/>
        <w:ind w:right="-144" w:rightChars="-45" w:firstLine="0" w:firstLineChars="0"/>
        <w:jc w:val="center"/>
        <w:rPr>
          <w:bCs/>
          <w:sz w:val="28"/>
          <w:szCs w:val="28"/>
        </w:rPr>
      </w:pPr>
      <w:r>
        <w:rPr>
          <w:bCs/>
          <w:sz w:val="28"/>
          <w:szCs w:val="28"/>
        </w:rPr>
        <w:t>表：本单位共享其他单位信息的需求情况</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074"/>
        <w:gridCol w:w="1046"/>
        <w:gridCol w:w="1616"/>
        <w:gridCol w:w="2377"/>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jc w:val="center"/>
        </w:trPr>
        <w:tc>
          <w:tcPr>
            <w:tcW w:w="343" w:type="pct"/>
            <w:vAlign w:val="center"/>
          </w:tcPr>
          <w:p>
            <w:pPr>
              <w:spacing w:line="560" w:lineRule="exact"/>
              <w:ind w:right="-144" w:rightChars="-45" w:firstLine="0" w:firstLineChars="0"/>
              <w:jc w:val="center"/>
              <w:rPr>
                <w:bCs/>
                <w:sz w:val="28"/>
                <w:szCs w:val="28"/>
              </w:rPr>
            </w:pPr>
            <w:r>
              <w:rPr>
                <w:bCs/>
                <w:sz w:val="28"/>
                <w:szCs w:val="28"/>
              </w:rPr>
              <w:t>序号</w:t>
            </w:r>
          </w:p>
        </w:tc>
        <w:tc>
          <w:tcPr>
            <w:tcW w:w="581" w:type="pct"/>
            <w:vAlign w:val="center"/>
          </w:tcPr>
          <w:p>
            <w:pPr>
              <w:spacing w:line="560" w:lineRule="exact"/>
              <w:ind w:right="-144" w:rightChars="-45" w:firstLine="0" w:firstLineChars="0"/>
              <w:jc w:val="center"/>
              <w:rPr>
                <w:bCs/>
                <w:sz w:val="28"/>
                <w:szCs w:val="28"/>
              </w:rPr>
            </w:pPr>
            <w:r>
              <w:rPr>
                <w:bCs/>
                <w:sz w:val="28"/>
                <w:szCs w:val="28"/>
              </w:rPr>
              <w:t>信息名称</w:t>
            </w:r>
          </w:p>
        </w:tc>
        <w:tc>
          <w:tcPr>
            <w:tcW w:w="566" w:type="pct"/>
            <w:vAlign w:val="center"/>
          </w:tcPr>
          <w:p>
            <w:pPr>
              <w:spacing w:line="560" w:lineRule="exact"/>
              <w:ind w:right="-144" w:rightChars="-45" w:firstLine="0" w:firstLineChars="0"/>
              <w:jc w:val="center"/>
              <w:rPr>
                <w:bCs/>
                <w:sz w:val="28"/>
                <w:szCs w:val="28"/>
              </w:rPr>
            </w:pPr>
            <w:r>
              <w:rPr>
                <w:bCs/>
                <w:sz w:val="28"/>
                <w:szCs w:val="28"/>
              </w:rPr>
              <w:t>信息所在单位</w:t>
            </w:r>
          </w:p>
        </w:tc>
        <w:tc>
          <w:tcPr>
            <w:tcW w:w="874" w:type="pct"/>
            <w:vAlign w:val="center"/>
          </w:tcPr>
          <w:p>
            <w:pPr>
              <w:spacing w:line="560" w:lineRule="exact"/>
              <w:ind w:firstLine="0" w:firstLineChars="0"/>
              <w:jc w:val="center"/>
              <w:rPr>
                <w:bCs/>
                <w:kern w:val="0"/>
                <w:sz w:val="28"/>
                <w:szCs w:val="28"/>
              </w:rPr>
            </w:pPr>
            <w:r>
              <w:rPr>
                <w:bCs/>
                <w:kern w:val="0"/>
                <w:sz w:val="28"/>
                <w:szCs w:val="28"/>
              </w:rPr>
              <w:t>信息交换频度</w:t>
            </w:r>
          </w:p>
        </w:tc>
        <w:tc>
          <w:tcPr>
            <w:tcW w:w="1286" w:type="pct"/>
            <w:vAlign w:val="center"/>
          </w:tcPr>
          <w:p>
            <w:pPr>
              <w:snapToGrid w:val="0"/>
              <w:spacing w:line="560" w:lineRule="exact"/>
              <w:ind w:firstLine="0" w:firstLineChars="0"/>
              <w:jc w:val="center"/>
              <w:rPr>
                <w:bCs/>
                <w:sz w:val="28"/>
                <w:szCs w:val="28"/>
              </w:rPr>
            </w:pPr>
            <w:r>
              <w:rPr>
                <w:bCs/>
                <w:sz w:val="28"/>
                <w:szCs w:val="28"/>
              </w:rPr>
              <w:t>应用该信息的系统名称及支撑的主要业务描述</w:t>
            </w:r>
          </w:p>
        </w:tc>
        <w:tc>
          <w:tcPr>
            <w:tcW w:w="1350" w:type="pct"/>
            <w:vAlign w:val="center"/>
          </w:tcPr>
          <w:p>
            <w:pPr>
              <w:snapToGrid w:val="0"/>
              <w:spacing w:line="560" w:lineRule="exact"/>
              <w:ind w:firstLine="0" w:firstLineChars="0"/>
              <w:jc w:val="center"/>
              <w:rPr>
                <w:bCs/>
                <w:sz w:val="28"/>
                <w:szCs w:val="28"/>
              </w:rPr>
            </w:pPr>
            <w:r>
              <w:rPr>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343" w:type="pct"/>
            <w:vAlign w:val="center"/>
          </w:tcPr>
          <w:p>
            <w:pPr>
              <w:snapToGrid w:val="0"/>
              <w:spacing w:line="560" w:lineRule="exact"/>
              <w:ind w:firstLine="0" w:firstLineChars="0"/>
              <w:jc w:val="center"/>
              <w:rPr>
                <w:bCs/>
                <w:sz w:val="28"/>
                <w:szCs w:val="28"/>
              </w:rPr>
            </w:pPr>
            <w:r>
              <w:rPr>
                <w:bCs/>
                <w:sz w:val="28"/>
                <w:szCs w:val="28"/>
              </w:rPr>
              <w:t>1</w:t>
            </w:r>
          </w:p>
        </w:tc>
        <w:tc>
          <w:tcPr>
            <w:tcW w:w="581" w:type="pct"/>
            <w:vAlign w:val="center"/>
          </w:tcPr>
          <w:p>
            <w:pPr>
              <w:snapToGrid w:val="0"/>
              <w:spacing w:line="560" w:lineRule="exact"/>
              <w:ind w:firstLine="0" w:firstLineChars="0"/>
              <w:rPr>
                <w:sz w:val="28"/>
                <w:szCs w:val="28"/>
              </w:rPr>
            </w:pPr>
            <w:r>
              <w:rPr>
                <w:sz w:val="28"/>
                <w:szCs w:val="28"/>
              </w:rPr>
              <w:t>运输车辆GPS数据</w:t>
            </w:r>
          </w:p>
        </w:tc>
        <w:tc>
          <w:tcPr>
            <w:tcW w:w="566" w:type="pct"/>
            <w:vAlign w:val="center"/>
          </w:tcPr>
          <w:p>
            <w:pPr>
              <w:snapToGrid w:val="0"/>
              <w:spacing w:line="560" w:lineRule="exact"/>
              <w:ind w:firstLine="0" w:firstLineChars="0"/>
              <w:rPr>
                <w:bCs/>
                <w:sz w:val="28"/>
                <w:szCs w:val="28"/>
              </w:rPr>
            </w:pPr>
            <w:r>
              <w:rPr>
                <w:bCs/>
                <w:sz w:val="28"/>
                <w:szCs w:val="28"/>
              </w:rPr>
              <w:t>河北省交通运输厅</w:t>
            </w:r>
          </w:p>
        </w:tc>
        <w:tc>
          <w:tcPr>
            <w:tcW w:w="874" w:type="pct"/>
            <w:vAlign w:val="center"/>
          </w:tcPr>
          <w:p>
            <w:pPr>
              <w:ind w:firstLine="0" w:firstLineChars="0"/>
              <w:rPr>
                <w:sz w:val="28"/>
                <w:szCs w:val="28"/>
              </w:rPr>
            </w:pPr>
            <w:r>
              <w:rPr>
                <w:sz w:val="28"/>
                <w:szCs w:val="28"/>
              </w:rPr>
              <w:t>当数据更新时，危险废物运输车辆GPS轨迹数据实时对接。</w:t>
            </w:r>
          </w:p>
        </w:tc>
        <w:tc>
          <w:tcPr>
            <w:tcW w:w="1286" w:type="pct"/>
            <w:vAlign w:val="center"/>
          </w:tcPr>
          <w:p>
            <w:pPr>
              <w:spacing w:line="560" w:lineRule="exact"/>
              <w:ind w:firstLine="0" w:firstLineChars="0"/>
              <w:rPr>
                <w:bCs/>
                <w:sz w:val="28"/>
                <w:szCs w:val="28"/>
              </w:rPr>
            </w:pPr>
            <w:r>
              <w:rPr>
                <w:sz w:val="28"/>
                <w:szCs w:val="28"/>
              </w:rPr>
              <w:t>保定市危险废物智能化环境监管平台。实现车辆GPS轨迹跟踪，跟踪危废转移全程，有效监管运输车辆未到规定地点时的处置、中途偷倒等违法、违规行为。</w:t>
            </w:r>
          </w:p>
        </w:tc>
        <w:tc>
          <w:tcPr>
            <w:tcW w:w="1350" w:type="pct"/>
            <w:vAlign w:val="center"/>
          </w:tcPr>
          <w:p>
            <w:pPr>
              <w:ind w:firstLine="0" w:firstLineChars="0"/>
              <w:rPr>
                <w:sz w:val="28"/>
                <w:szCs w:val="28"/>
              </w:rPr>
            </w:pPr>
            <w:r>
              <w:rPr>
                <w:sz w:val="28"/>
                <w:szCs w:val="28"/>
              </w:rPr>
              <w:t>数据接口采用HTTP通讯协议进行同步通讯，数据字段包括车牌、车牌颜色、时间、经纬度、方向等。</w:t>
            </w:r>
          </w:p>
        </w:tc>
      </w:tr>
    </w:tbl>
    <w:p>
      <w:pPr>
        <w:ind w:firstLine="560"/>
        <w:rPr>
          <w:sz w:val="28"/>
          <w:szCs w:val="28"/>
        </w:rPr>
      </w:pPr>
    </w:p>
    <w:p>
      <w:pPr>
        <w:ind w:firstLine="560"/>
        <w:rPr>
          <w:sz w:val="28"/>
          <w:szCs w:val="28"/>
        </w:rPr>
      </w:pPr>
      <w:r>
        <w:rPr>
          <w:sz w:val="28"/>
          <w:szCs w:val="28"/>
        </w:rPr>
        <w:t>（1）对接内容</w:t>
      </w:r>
    </w:p>
    <w:p>
      <w:pPr>
        <w:ind w:firstLine="560"/>
        <w:rPr>
          <w:sz w:val="28"/>
          <w:szCs w:val="28"/>
        </w:rPr>
      </w:pPr>
      <w:r>
        <w:rPr>
          <w:sz w:val="28"/>
          <w:szCs w:val="28"/>
        </w:rPr>
        <w:t>需要对接的数据信息为危险废物车辆GPS轨迹数据，包括车牌、车牌颜色、时间、经纬度、方向等。</w:t>
      </w:r>
    </w:p>
    <w:p>
      <w:pPr>
        <w:ind w:firstLine="560"/>
        <w:rPr>
          <w:sz w:val="28"/>
          <w:szCs w:val="28"/>
        </w:rPr>
      </w:pPr>
      <w:r>
        <w:rPr>
          <w:sz w:val="28"/>
          <w:szCs w:val="28"/>
        </w:rPr>
        <w:t>（2）对接频率</w:t>
      </w:r>
    </w:p>
    <w:p>
      <w:pPr>
        <w:ind w:firstLine="560"/>
        <w:rPr>
          <w:sz w:val="28"/>
          <w:szCs w:val="28"/>
        </w:rPr>
      </w:pPr>
      <w:r>
        <w:rPr>
          <w:sz w:val="28"/>
          <w:szCs w:val="28"/>
        </w:rPr>
        <w:t>当数据更新时，危险废物车辆GPS轨迹数据实时对接。</w:t>
      </w:r>
    </w:p>
    <w:p>
      <w:pPr>
        <w:ind w:firstLine="560"/>
        <w:rPr>
          <w:sz w:val="28"/>
          <w:szCs w:val="28"/>
        </w:rPr>
      </w:pPr>
      <w:r>
        <w:rPr>
          <w:sz w:val="28"/>
          <w:szCs w:val="28"/>
        </w:rPr>
        <w:t>（3）数据接入方式</w:t>
      </w:r>
    </w:p>
    <w:p>
      <w:pPr>
        <w:ind w:firstLine="560"/>
        <w:rPr>
          <w:sz w:val="28"/>
          <w:szCs w:val="28"/>
        </w:rPr>
      </w:pPr>
      <w:r>
        <w:rPr>
          <w:sz w:val="28"/>
          <w:szCs w:val="28"/>
        </w:rPr>
        <w:t>双方通过提供标准服务接口方式进行系统数据对接。</w:t>
      </w:r>
    </w:p>
    <w:p>
      <w:pPr>
        <w:ind w:firstLine="560"/>
        <w:rPr>
          <w:sz w:val="28"/>
          <w:szCs w:val="28"/>
        </w:rPr>
      </w:pPr>
      <w:r>
        <w:rPr>
          <w:sz w:val="28"/>
          <w:szCs w:val="28"/>
        </w:rPr>
        <w:t>（4）接口支持</w:t>
      </w:r>
    </w:p>
    <w:p>
      <w:pPr>
        <w:ind w:firstLine="560"/>
        <w:rPr>
          <w:sz w:val="28"/>
          <w:szCs w:val="28"/>
        </w:rPr>
      </w:pPr>
      <w:r>
        <w:rPr>
          <w:sz w:val="28"/>
          <w:szCs w:val="28"/>
        </w:rPr>
        <w:t>数据接口采用HTTP通讯协议进行同步通讯。</w:t>
      </w:r>
    </w:p>
    <w:p>
      <w:pPr>
        <w:ind w:firstLine="560"/>
        <w:rPr>
          <w:sz w:val="28"/>
          <w:szCs w:val="28"/>
        </w:rPr>
      </w:pPr>
      <w:r>
        <w:rPr>
          <w:sz w:val="28"/>
          <w:szCs w:val="28"/>
        </w:rPr>
        <w:t>（5）数据对接方式</w:t>
      </w:r>
    </w:p>
    <w:p>
      <w:pPr>
        <w:ind w:firstLine="560"/>
        <w:rPr>
          <w:sz w:val="28"/>
          <w:szCs w:val="28"/>
        </w:rPr>
      </w:pPr>
      <w:r>
        <w:rPr>
          <w:sz w:val="28"/>
          <w:szCs w:val="28"/>
        </w:rPr>
        <w:t>双方按照数据格式要求，按照数据报送频率要求，对接所需要的数据。</w:t>
      </w:r>
    </w:p>
    <w:bookmarkEnd w:id="79"/>
    <w:p>
      <w:pPr>
        <w:pStyle w:val="4"/>
      </w:pPr>
      <w:bookmarkStart w:id="80" w:name="_Toc81322760"/>
      <w:bookmarkStart w:id="81" w:name="_Toc97654071"/>
      <w:r>
        <w:t>应用系统建设方案</w:t>
      </w:r>
      <w:bookmarkEnd w:id="80"/>
      <w:bookmarkEnd w:id="81"/>
    </w:p>
    <w:p>
      <w:pPr>
        <w:pStyle w:val="5"/>
      </w:pPr>
      <w:bookmarkStart w:id="82" w:name="_Toc62459054"/>
      <w:r>
        <w:t>数据支撑平台</w:t>
      </w:r>
    </w:p>
    <w:p>
      <w:pPr>
        <w:ind w:firstLine="560"/>
        <w:rPr>
          <w:sz w:val="28"/>
          <w:szCs w:val="28"/>
        </w:rPr>
      </w:pPr>
      <w:r>
        <w:rPr>
          <w:sz w:val="28"/>
          <w:szCs w:val="28"/>
        </w:rPr>
        <w:t>数据支撑平台建设包括四大核心模块（数据智能采集、数据信息存储、数据仓库、数据管理）建设，整个支撑平台的结构如下图所示：</w:t>
      </w:r>
    </w:p>
    <w:p>
      <w:pPr>
        <w:spacing w:line="360" w:lineRule="auto"/>
        <w:ind w:firstLine="0" w:firstLineChars="0"/>
        <w:jc w:val="center"/>
        <w:rPr>
          <w:sz w:val="28"/>
          <w:szCs w:val="28"/>
        </w:rPr>
      </w:pPr>
      <w:r>
        <w:rPr>
          <w:sz w:val="28"/>
          <w:szCs w:val="28"/>
        </w:rPr>
        <w:drawing>
          <wp:inline distT="0" distB="0" distL="0" distR="0">
            <wp:extent cx="5731510" cy="3304540"/>
            <wp:effectExtent l="0" t="0" r="2540" b="0"/>
            <wp:docPr id="3" name="图片 3" descr="C:\Users\zyf\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yf\Desktop\图片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31510" cy="3304834"/>
                    </a:xfrm>
                    <a:prstGeom prst="rect">
                      <a:avLst/>
                    </a:prstGeom>
                    <a:noFill/>
                    <a:ln>
                      <a:noFill/>
                    </a:ln>
                  </pic:spPr>
                </pic:pic>
              </a:graphicData>
            </a:graphic>
          </wp:inline>
        </w:drawing>
      </w:r>
    </w:p>
    <w:p>
      <w:pPr>
        <w:pStyle w:val="6"/>
      </w:pPr>
      <w:r>
        <w:t>数据智能采集</w:t>
      </w:r>
    </w:p>
    <w:p>
      <w:pPr>
        <w:ind w:firstLine="560"/>
        <w:rPr>
          <w:sz w:val="28"/>
          <w:szCs w:val="28"/>
        </w:rPr>
      </w:pPr>
      <w:r>
        <w:rPr>
          <w:sz w:val="28"/>
          <w:szCs w:val="28"/>
        </w:rPr>
        <w:t>依托物联网智能网关，结合数据有效性审核规范，高效稳定的完成智能协议路由及数据解析、数据存储；通过采用实时数据流、离线数据接口等方式，实现所接收数据的发布，按需提供给各个业务系统。</w:t>
      </w:r>
    </w:p>
    <w:p>
      <w:pPr>
        <w:ind w:firstLine="560"/>
        <w:rPr>
          <w:sz w:val="28"/>
          <w:szCs w:val="28"/>
        </w:rPr>
      </w:pPr>
      <w:r>
        <w:rPr>
          <w:sz w:val="28"/>
          <w:szCs w:val="28"/>
        </w:rPr>
        <w:t>智能电子秤信息包括称重信息、危废代码信息、出入库信息、操作时间、负责人信息。</w:t>
      </w:r>
    </w:p>
    <w:p>
      <w:pPr>
        <w:pStyle w:val="6"/>
      </w:pPr>
      <w:r>
        <w:t>数据信息存储</w:t>
      </w:r>
    </w:p>
    <w:p>
      <w:pPr>
        <w:ind w:firstLine="560"/>
        <w:rPr>
          <w:sz w:val="28"/>
          <w:szCs w:val="28"/>
        </w:rPr>
      </w:pPr>
      <w:r>
        <w:rPr>
          <w:sz w:val="28"/>
          <w:szCs w:val="28"/>
        </w:rPr>
        <w:t>我们将各类数据库从逻辑上分为元数据库、基础数据库、以及由企业数据库、监控数据库、空间数据库、数据交换管理库、系统核心数据库等组成主题（业务）数据库。</w:t>
      </w:r>
    </w:p>
    <w:p>
      <w:pPr>
        <w:ind w:firstLine="560"/>
        <w:rPr>
          <w:sz w:val="28"/>
          <w:szCs w:val="28"/>
        </w:rPr>
      </w:pPr>
      <w:r>
        <w:rPr>
          <w:sz w:val="28"/>
          <w:szCs w:val="28"/>
        </w:rPr>
        <w:t>根据子库划分结果，元数据库是整个数据库的应用基础，实现对业务对象数据的描述；基础数据库存放基础代码信息；主题（业务）数据库存放环境管理业务中的具体信息。</w:t>
      </w:r>
    </w:p>
    <w:p>
      <w:pPr>
        <w:pStyle w:val="6"/>
      </w:pPr>
      <w:r>
        <w:t>数据仓库</w:t>
      </w:r>
    </w:p>
    <w:p>
      <w:pPr>
        <w:ind w:firstLine="560"/>
        <w:rPr>
          <w:sz w:val="28"/>
          <w:szCs w:val="28"/>
        </w:rPr>
      </w:pPr>
      <w:r>
        <w:rPr>
          <w:sz w:val="28"/>
          <w:szCs w:val="28"/>
        </w:rPr>
        <w:t>实现决策支持功能，采用先进的数据仓库技术，将各种原始数据转化为有用的知识信息，利用数据挖掘工具和统计模型等数据仓库技术，对数据信息进行跟踪，做出更有效的决策。</w:t>
      </w:r>
    </w:p>
    <w:p>
      <w:pPr>
        <w:pStyle w:val="6"/>
      </w:pPr>
      <w:r>
        <w:t>数据管理</w:t>
      </w:r>
    </w:p>
    <w:p>
      <w:pPr>
        <w:ind w:firstLine="560"/>
        <w:rPr>
          <w:sz w:val="28"/>
          <w:szCs w:val="28"/>
        </w:rPr>
      </w:pPr>
      <w:r>
        <w:rPr>
          <w:sz w:val="28"/>
          <w:szCs w:val="28"/>
        </w:rPr>
        <w:t>提供数据管理功能，将采集的危险废物数据根据清洗规则抽取数据，对数据去重、去错，过滤不符合要求的数据。</w:t>
      </w:r>
    </w:p>
    <w:p>
      <w:pPr>
        <w:pStyle w:val="5"/>
        <w:rPr>
          <w:lang w:val="zh-CN"/>
        </w:rPr>
      </w:pPr>
      <w:r>
        <w:rPr>
          <w:lang w:val="zh-CN"/>
        </w:rPr>
        <w:t>危废全生命周期监管</w:t>
      </w:r>
      <w:bookmarkEnd w:id="82"/>
    </w:p>
    <w:p>
      <w:pPr>
        <w:pStyle w:val="6"/>
      </w:pPr>
      <w:bookmarkStart w:id="83" w:name="_Toc57294086"/>
      <w:bookmarkStart w:id="84" w:name="_Toc13473928"/>
      <w:r>
        <w:t>危废</w:t>
      </w:r>
      <w:bookmarkEnd w:id="83"/>
      <w:r>
        <w:t>一张图</w:t>
      </w:r>
    </w:p>
    <w:p>
      <w:pPr>
        <w:pStyle w:val="7"/>
      </w:pPr>
      <w:r>
        <w:t>产生管理</w:t>
      </w:r>
    </w:p>
    <w:p>
      <w:pPr>
        <w:ind w:firstLine="560"/>
        <w:rPr>
          <w:sz w:val="28"/>
          <w:szCs w:val="28"/>
        </w:rPr>
      </w:pPr>
      <w:r>
        <w:rPr>
          <w:sz w:val="28"/>
          <w:szCs w:val="28"/>
        </w:rPr>
        <w:t>汇总今年截至目前全市危废产生总量，并与去年同期数据进行同比分析，统计产废企业总数和正常生产企业总数；</w:t>
      </w:r>
    </w:p>
    <w:p>
      <w:pPr>
        <w:ind w:firstLine="560"/>
        <w:rPr>
          <w:sz w:val="28"/>
          <w:szCs w:val="28"/>
        </w:rPr>
      </w:pPr>
      <w:r>
        <w:rPr>
          <w:sz w:val="28"/>
          <w:szCs w:val="28"/>
        </w:rPr>
        <w:t>将近三年历史数据进行综合汇总，可生成全市近三年产生量同比统计折线图或柱状图；</w:t>
      </w:r>
    </w:p>
    <w:p>
      <w:pPr>
        <w:ind w:firstLine="560"/>
        <w:rPr>
          <w:sz w:val="28"/>
          <w:szCs w:val="28"/>
        </w:rPr>
      </w:pPr>
      <w:r>
        <w:rPr>
          <w:sz w:val="28"/>
          <w:szCs w:val="28"/>
        </w:rPr>
        <w:t>依照目前的产生数据，以列表形式统计全市产生量前五位的危废大类和行业；</w:t>
      </w:r>
    </w:p>
    <w:p>
      <w:pPr>
        <w:ind w:firstLine="560"/>
        <w:rPr>
          <w:sz w:val="28"/>
          <w:szCs w:val="28"/>
        </w:rPr>
      </w:pPr>
      <w:r>
        <w:rPr>
          <w:sz w:val="28"/>
          <w:szCs w:val="28"/>
        </w:rPr>
        <w:t>依照截至目前产废企业在省平台上报的转移联单数据，自动生成危废转移流向图。</w:t>
      </w:r>
    </w:p>
    <w:p>
      <w:pPr>
        <w:pStyle w:val="7"/>
      </w:pPr>
      <w:r>
        <w:t>贮存管理</w:t>
      </w:r>
    </w:p>
    <w:p>
      <w:pPr>
        <w:ind w:firstLine="560"/>
        <w:rPr>
          <w:sz w:val="28"/>
          <w:szCs w:val="28"/>
        </w:rPr>
      </w:pPr>
      <w:r>
        <w:rPr>
          <w:sz w:val="28"/>
          <w:szCs w:val="28"/>
        </w:rPr>
        <w:t>汇总今年截至目前全市危废总贮存量，并与去年同期数据进行同比分析；</w:t>
      </w:r>
    </w:p>
    <w:p>
      <w:pPr>
        <w:ind w:firstLine="560"/>
        <w:rPr>
          <w:sz w:val="28"/>
          <w:szCs w:val="28"/>
        </w:rPr>
      </w:pPr>
      <w:r>
        <w:rPr>
          <w:sz w:val="28"/>
          <w:szCs w:val="28"/>
        </w:rPr>
        <w:t>将近三年历史数据进行综合汇总，可生成全市近三年贮存量同比统计折线图或柱状图；</w:t>
      </w:r>
    </w:p>
    <w:p>
      <w:pPr>
        <w:ind w:firstLine="560"/>
        <w:rPr>
          <w:sz w:val="28"/>
          <w:szCs w:val="28"/>
        </w:rPr>
      </w:pPr>
      <w:r>
        <w:rPr>
          <w:sz w:val="28"/>
          <w:szCs w:val="28"/>
        </w:rPr>
        <w:t>依照目前的贮存数据，以柱状图形式统计全市贮存量前五位的危废大类；</w:t>
      </w:r>
    </w:p>
    <w:p>
      <w:pPr>
        <w:ind w:firstLine="560"/>
        <w:rPr>
          <w:sz w:val="28"/>
          <w:szCs w:val="28"/>
        </w:rPr>
      </w:pPr>
      <w:r>
        <w:rPr>
          <w:sz w:val="28"/>
          <w:szCs w:val="28"/>
        </w:rPr>
        <w:t>依照截至目前产废企业在省平台库存上报的数据，自动生成贮存的危废特性占比情况环状图，包括反应性、感染性、腐蚀性、易燃性、毒性危废贮存占比，并可查看不同特性危废下企业的贮存量信息；</w:t>
      </w:r>
    </w:p>
    <w:p>
      <w:pPr>
        <w:ind w:firstLine="560"/>
        <w:rPr>
          <w:sz w:val="28"/>
          <w:szCs w:val="28"/>
        </w:rPr>
      </w:pPr>
      <w:r>
        <w:rPr>
          <w:sz w:val="28"/>
          <w:szCs w:val="28"/>
        </w:rPr>
        <w:t>按照贮存量递减顺序生成企业危废贮存量前十的统计列表，并支持与地图联动定位企业位置。</w:t>
      </w:r>
    </w:p>
    <w:bookmarkEnd w:id="84"/>
    <w:p>
      <w:pPr>
        <w:pStyle w:val="7"/>
      </w:pPr>
      <w:r>
        <w:t>转移管理</w:t>
      </w:r>
    </w:p>
    <w:p>
      <w:pPr>
        <w:ind w:firstLine="560"/>
        <w:rPr>
          <w:sz w:val="28"/>
          <w:szCs w:val="28"/>
        </w:rPr>
      </w:pPr>
      <w:r>
        <w:rPr>
          <w:sz w:val="28"/>
          <w:szCs w:val="28"/>
        </w:rPr>
        <w:t>根据与省平台对接的联单数据，统计全市整体转移量、市内转移量、市外委外转移量；</w:t>
      </w:r>
    </w:p>
    <w:p>
      <w:pPr>
        <w:ind w:firstLine="560"/>
        <w:rPr>
          <w:sz w:val="28"/>
          <w:szCs w:val="28"/>
        </w:rPr>
      </w:pPr>
      <w:r>
        <w:rPr>
          <w:sz w:val="28"/>
          <w:szCs w:val="28"/>
        </w:rPr>
        <w:t>统计全市近三年以来的危废转移情况，形成对比折线图；</w:t>
      </w:r>
    </w:p>
    <w:p>
      <w:pPr>
        <w:ind w:firstLine="560"/>
        <w:rPr>
          <w:sz w:val="28"/>
          <w:szCs w:val="28"/>
        </w:rPr>
      </w:pPr>
      <w:r>
        <w:rPr>
          <w:sz w:val="28"/>
          <w:szCs w:val="28"/>
        </w:rPr>
        <w:t>根据全市主要利用处置方式，自动生成各项利用处置方式占比环状图；</w:t>
      </w:r>
    </w:p>
    <w:p>
      <w:pPr>
        <w:ind w:firstLine="560"/>
        <w:rPr>
          <w:sz w:val="28"/>
          <w:szCs w:val="28"/>
        </w:rPr>
      </w:pPr>
      <w:r>
        <w:rPr>
          <w:sz w:val="28"/>
          <w:szCs w:val="28"/>
        </w:rPr>
        <w:t>根据与省系统联单信息对接，实时更新全市危废的转移联单动态，列明每笔联单的产废企业、接收企业、危废名称和转移量数据，点开联单条目可查看联单详细信息（包括运输车辆转移路径）。</w:t>
      </w:r>
      <w:r>
        <w:rPr>
          <w:sz w:val="28"/>
          <w:szCs w:val="28"/>
        </w:rPr>
        <mc:AlternateContent>
          <mc:Choice Requires="wps">
            <w:drawing>
              <wp:anchor distT="0" distB="0" distL="114300" distR="114300" simplePos="0" relativeHeight="251659264" behindDoc="0" locked="0" layoutInCell="1" allowOverlap="1">
                <wp:simplePos x="0" y="0"/>
                <wp:positionH relativeFrom="column">
                  <wp:posOffset>897255</wp:posOffset>
                </wp:positionH>
                <wp:positionV relativeFrom="paragraph">
                  <wp:posOffset>8086725</wp:posOffset>
                </wp:positionV>
                <wp:extent cx="2143125" cy="171450"/>
                <wp:effectExtent l="0" t="0" r="9525" b="0"/>
                <wp:wrapNone/>
                <wp:docPr id="30" name="矩形 30"/>
                <wp:cNvGraphicFramePr/>
                <a:graphic xmlns:a="http://schemas.openxmlformats.org/drawingml/2006/main">
                  <a:graphicData uri="http://schemas.microsoft.com/office/word/2010/wordprocessingShape">
                    <wps:wsp>
                      <wps:cNvSpPr/>
                      <wps:spPr>
                        <a:xfrm>
                          <a:off x="0" y="0"/>
                          <a:ext cx="2143125" cy="17145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65pt;margin-top:636.75pt;height:13.5pt;width:168.75pt;z-index:251659264;v-text-anchor:middle;mso-width-relative:page;mso-height-relative:page;" fillcolor="#222A35 [1615]" filled="t" stroked="f" coordsize="21600,21600" o:gfxdata="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AOE&#10;/0zaAAAADQEAAA8AAAAAAAAAAQAgAAAAOAAAAGRycy9kb3ducmV2LnhtbFBLAQIUABQAAAAIAIdO&#10;4kCPf6pyfQIAAO8EAAAOAAAAAAAAAAEAIAAAAD8BAABkcnMvZTJvRG9jLnhtbFBLBQYAAAAABgAG&#10;AFkBAAAuBgAAAAA=&#10;">
                <v:fill on="t" focussize="0,0"/>
                <v:stroke on="f" weight="1pt" miterlimit="8" joinstyle="miter"/>
                <v:imagedata o:title=""/>
                <o:lock v:ext="edit" aspectratio="f"/>
              </v:rect>
            </w:pict>
          </mc:Fallback>
        </mc:AlternateContent>
      </w:r>
    </w:p>
    <w:p>
      <w:pPr>
        <w:pStyle w:val="7"/>
      </w:pPr>
      <w:bookmarkStart w:id="85" w:name="_Toc13473929"/>
      <w:r>
        <w:t>处置利用</w:t>
      </w:r>
    </w:p>
    <w:p>
      <w:pPr>
        <w:ind w:firstLine="560"/>
        <w:rPr>
          <w:sz w:val="28"/>
          <w:szCs w:val="28"/>
        </w:rPr>
      </w:pPr>
      <w:r>
        <w:rPr>
          <w:sz w:val="28"/>
          <w:szCs w:val="28"/>
        </w:rPr>
        <w:t>汇总全市核准规模、利用量、处置量信息，系统自动计算处置进度；</w:t>
      </w:r>
    </w:p>
    <w:p>
      <w:pPr>
        <w:ind w:firstLine="560"/>
        <w:rPr>
          <w:sz w:val="28"/>
          <w:szCs w:val="28"/>
        </w:rPr>
      </w:pPr>
      <w:r>
        <w:rPr>
          <w:sz w:val="28"/>
          <w:szCs w:val="28"/>
        </w:rPr>
        <w:t>按照全市各处置利用企业名称，形成年核准量、接收量、处置利用量统计报表。</w:t>
      </w:r>
    </w:p>
    <w:p>
      <w:pPr>
        <w:pStyle w:val="6"/>
      </w:pPr>
      <w:r>
        <w:t>危险废物综合监管</w:t>
      </w:r>
    </w:p>
    <w:p>
      <w:pPr>
        <w:pStyle w:val="7"/>
      </w:pPr>
      <w:r>
        <w:t>产废企业</w:t>
      </w:r>
    </w:p>
    <w:p>
      <w:pPr>
        <w:pStyle w:val="8"/>
      </w:pPr>
      <w:r>
        <w:t>概况信息</w:t>
      </w:r>
    </w:p>
    <w:p>
      <w:pPr>
        <w:ind w:firstLine="560"/>
        <w:rPr>
          <w:sz w:val="28"/>
          <w:szCs w:val="28"/>
        </w:rPr>
      </w:pPr>
      <w:r>
        <w:rPr>
          <w:sz w:val="28"/>
          <w:szCs w:val="28"/>
        </w:rPr>
        <w:t>实现产废企业概况信息的查看，包括年产废规模、主要产废信息、物联设备接入情况（智能称重终端、视频监控）、全年各月度的产废量和转移量、各类危废贮存占比情况环状图。</w:t>
      </w:r>
    </w:p>
    <w:p>
      <w:pPr>
        <w:pStyle w:val="8"/>
      </w:pPr>
      <w:r>
        <w:t>基础信息</w:t>
      </w:r>
    </w:p>
    <w:p>
      <w:pPr>
        <w:ind w:firstLine="560"/>
        <w:rPr>
          <w:sz w:val="28"/>
          <w:szCs w:val="28"/>
        </w:rPr>
      </w:pPr>
      <w:r>
        <w:rPr>
          <w:sz w:val="28"/>
          <w:szCs w:val="28"/>
        </w:rPr>
        <w:t>实现企业基础信息的查看，包括：企业名称、营业执照注册号、组织机构代码、法人代表名称、联系人、联系人电话、企业属性、企业注册类型、经营方式、经营单位类别、所属行政区、工商注册地址、中心经度、中心纬度等信息。</w:t>
      </w:r>
    </w:p>
    <w:p>
      <w:pPr>
        <w:ind w:firstLine="560"/>
        <w:rPr>
          <w:sz w:val="28"/>
          <w:szCs w:val="28"/>
        </w:rPr>
      </w:pPr>
      <w:r>
        <w:rPr>
          <w:sz w:val="28"/>
          <w:szCs w:val="28"/>
        </w:rPr>
        <w:t>以及企业的产废信息、危险废物委托利用、处置措施（本年度计划）、管理计划详细信息。</w:t>
      </w:r>
    </w:p>
    <w:p>
      <w:pPr>
        <w:pStyle w:val="8"/>
      </w:pPr>
      <w:r>
        <w:t>危废申报</w:t>
      </w:r>
    </w:p>
    <w:p>
      <w:pPr>
        <w:ind w:firstLine="560"/>
        <w:rPr>
          <w:sz w:val="28"/>
          <w:szCs w:val="28"/>
        </w:rPr>
      </w:pPr>
      <w:r>
        <w:rPr>
          <w:sz w:val="28"/>
          <w:szCs w:val="28"/>
        </w:rPr>
        <w:t>可按时间、申报状态查看任一月度申报任务的详细信息，包括企业信息确认、企业生产信息、危废信息申报、信息确认审核。</w:t>
      </w:r>
    </w:p>
    <w:p>
      <w:pPr>
        <w:ind w:firstLine="560"/>
        <w:rPr>
          <w:sz w:val="28"/>
          <w:szCs w:val="28"/>
        </w:rPr>
      </w:pPr>
      <w:r>
        <w:rPr>
          <w:sz w:val="28"/>
          <w:szCs w:val="28"/>
        </w:rPr>
        <w:t>可按时间、汇总方式、单位、不同类别对危废产生量进行统计汇总。</w:t>
      </w:r>
    </w:p>
    <w:p>
      <w:pPr>
        <w:pStyle w:val="8"/>
      </w:pPr>
      <w:r>
        <w:t>危废贮存</w:t>
      </w:r>
    </w:p>
    <w:p>
      <w:pPr>
        <w:ind w:firstLine="560"/>
        <w:rPr>
          <w:sz w:val="28"/>
          <w:szCs w:val="28"/>
        </w:rPr>
      </w:pPr>
      <w:r>
        <w:rPr>
          <w:sz w:val="28"/>
          <w:szCs w:val="28"/>
        </w:rPr>
        <w:t>可查看每一个仓库内结存的每一类危废的存量信息，可实现按时间、单位、查询方式查询收发库存的统计情况。</w:t>
      </w:r>
    </w:p>
    <w:p>
      <w:pPr>
        <w:pStyle w:val="8"/>
      </w:pPr>
      <w:r>
        <w:t>危废转移</w:t>
      </w:r>
    </w:p>
    <w:p>
      <w:pPr>
        <w:ind w:firstLine="560"/>
        <w:rPr>
          <w:sz w:val="28"/>
          <w:szCs w:val="28"/>
        </w:rPr>
      </w:pPr>
      <w:r>
        <w:rPr>
          <w:sz w:val="28"/>
          <w:szCs w:val="28"/>
        </w:rPr>
        <w:t>实现从危废转移联单创建、出库、运输、确认、签收等全流程的联单状态监控，可查看并导出每一个转移联单的详细信息。</w:t>
      </w:r>
    </w:p>
    <w:p>
      <w:pPr>
        <w:ind w:firstLine="560"/>
        <w:rPr>
          <w:sz w:val="28"/>
          <w:szCs w:val="28"/>
        </w:rPr>
      </w:pPr>
      <w:r>
        <w:rPr>
          <w:sz w:val="28"/>
          <w:szCs w:val="28"/>
        </w:rPr>
        <w:t>实现按出厂日期、单位、查询方式、企业统计对联单进行统计汇总并可查看每个联单的详细信息。</w:t>
      </w:r>
    </w:p>
    <w:p>
      <w:pPr>
        <w:pStyle w:val="7"/>
      </w:pPr>
      <w:r>
        <w:t>经营企业</w:t>
      </w:r>
    </w:p>
    <w:p>
      <w:pPr>
        <w:pStyle w:val="8"/>
      </w:pPr>
      <w:r>
        <w:t>概况信息</w:t>
      </w:r>
    </w:p>
    <w:p>
      <w:pPr>
        <w:ind w:firstLine="560"/>
        <w:rPr>
          <w:sz w:val="28"/>
          <w:szCs w:val="28"/>
        </w:rPr>
      </w:pPr>
      <w:r>
        <w:rPr>
          <w:sz w:val="28"/>
          <w:szCs w:val="28"/>
        </w:rPr>
        <w:t>实现经营企业概况信息的查看，包括经营方式、主要次生危废、物联设备接入情况（智能称重终端、视频监控）、以柱状图形式统计企业近七天危废签收量、利用处置量、次生量的数量信息以及许可证本年度使用情况。</w:t>
      </w:r>
    </w:p>
    <w:p>
      <w:pPr>
        <w:pStyle w:val="8"/>
      </w:pPr>
      <w:r>
        <w:t>基础信息</w:t>
      </w:r>
    </w:p>
    <w:p>
      <w:pPr>
        <w:ind w:firstLine="560"/>
        <w:rPr>
          <w:sz w:val="28"/>
          <w:szCs w:val="28"/>
        </w:rPr>
      </w:pPr>
      <w:r>
        <w:rPr>
          <w:sz w:val="28"/>
          <w:szCs w:val="28"/>
        </w:rPr>
        <w:t>实现企业基础信息的查看，包括：企业名称、营业执照注册号、组织机构代码、法人代表名称、联系人、联系人电话、企业属性、企业注册类型、经营方式、经营单位类别、所属行政区、工商注册地址、中心经度、中心纬度等信息。</w:t>
      </w:r>
    </w:p>
    <w:p>
      <w:pPr>
        <w:ind w:firstLine="560"/>
        <w:rPr>
          <w:sz w:val="28"/>
          <w:szCs w:val="28"/>
        </w:rPr>
      </w:pPr>
      <w:r>
        <w:rPr>
          <w:sz w:val="28"/>
          <w:szCs w:val="28"/>
        </w:rPr>
        <w:t>以及企业的经营许可证信息，包括许可证编号、发证机关、有效期、状态、许可证许可总量、许可证剩余量等信息；经营项目信息，包括环评名称、项目数量、项目名称、适合处置利用危废、处置方式、年处理能力、状态等信息。</w:t>
      </w:r>
    </w:p>
    <w:p>
      <w:pPr>
        <w:pStyle w:val="8"/>
      </w:pPr>
      <w:r>
        <w:t>危废申报</w:t>
      </w:r>
    </w:p>
    <w:p>
      <w:pPr>
        <w:ind w:firstLine="560"/>
        <w:rPr>
          <w:sz w:val="28"/>
          <w:szCs w:val="28"/>
        </w:rPr>
      </w:pPr>
      <w:r>
        <w:rPr>
          <w:sz w:val="28"/>
          <w:szCs w:val="28"/>
        </w:rPr>
        <w:t>可按时间、申报状态查看任一月度申报任务的详细信息，包括企业信息确认、企业生产信息、危废信息申报、信息确认审核。</w:t>
      </w:r>
    </w:p>
    <w:p>
      <w:pPr>
        <w:ind w:firstLine="560"/>
        <w:rPr>
          <w:sz w:val="28"/>
          <w:szCs w:val="28"/>
        </w:rPr>
      </w:pPr>
      <w:r>
        <w:rPr>
          <w:sz w:val="28"/>
          <w:szCs w:val="28"/>
        </w:rPr>
        <w:t>可按时间、汇总方式、单位、不同类别对危废产生量进行统计汇总。</w:t>
      </w:r>
    </w:p>
    <w:p>
      <w:pPr>
        <w:pStyle w:val="8"/>
      </w:pPr>
      <w:r>
        <w:t>危废处置</w:t>
      </w:r>
    </w:p>
    <w:p>
      <w:pPr>
        <w:ind w:firstLine="560"/>
        <w:rPr>
          <w:sz w:val="28"/>
          <w:szCs w:val="28"/>
        </w:rPr>
      </w:pPr>
      <w:r>
        <w:rPr>
          <w:sz w:val="28"/>
          <w:szCs w:val="28"/>
        </w:rPr>
        <w:t>可按时间、查询方式、批次号查询处置台账信息，包括经营记录、转移台账、次生危废转移、次生转移台账、一般固废转移申报情况及处置状态，可查看详细信息。</w:t>
      </w:r>
    </w:p>
    <w:p>
      <w:pPr>
        <w:ind w:firstLine="560"/>
        <w:rPr>
          <w:sz w:val="28"/>
          <w:szCs w:val="28"/>
        </w:rPr>
      </w:pPr>
      <w:r>
        <w:rPr>
          <w:sz w:val="28"/>
          <w:szCs w:val="28"/>
        </w:rPr>
        <w:t>可按时间、查询方式、单位查询处置量统计信息，包括处置利用方式、接收总量、联单接收量、手工录入量、处置量、次生量、次生利用量、次生转移总量、次生台账转移量、次生联单转移量等信息。</w:t>
      </w:r>
    </w:p>
    <w:p>
      <w:pPr>
        <w:pStyle w:val="8"/>
      </w:pPr>
      <w:r>
        <w:t>危废转移</w:t>
      </w:r>
    </w:p>
    <w:p>
      <w:pPr>
        <w:ind w:firstLine="560"/>
        <w:rPr>
          <w:sz w:val="28"/>
          <w:szCs w:val="28"/>
        </w:rPr>
      </w:pPr>
      <w:r>
        <w:rPr>
          <w:sz w:val="28"/>
          <w:szCs w:val="28"/>
        </w:rPr>
        <w:t>实现从危废转移联单创建、出库、运输、确认、签收等全流程的联单状态监控，可查看并导出每一个转移联单的详细信息。</w:t>
      </w:r>
    </w:p>
    <w:p>
      <w:pPr>
        <w:ind w:firstLine="560"/>
        <w:rPr>
          <w:sz w:val="28"/>
          <w:szCs w:val="28"/>
        </w:rPr>
      </w:pPr>
      <w:r>
        <w:rPr>
          <w:sz w:val="28"/>
          <w:szCs w:val="28"/>
        </w:rPr>
        <w:t>实现按出厂日期、单位、查询方式、企业统计对联单进行统计汇总并可查看每个联单的详细信息。</w:t>
      </w:r>
    </w:p>
    <w:p>
      <w:pPr>
        <w:pStyle w:val="7"/>
      </w:pPr>
      <w:r>
        <w:t>物联网监管</w:t>
      </w:r>
    </w:p>
    <w:p>
      <w:pPr>
        <w:pStyle w:val="8"/>
      </w:pPr>
      <w:r>
        <w:t>智能终端监控</w:t>
      </w:r>
    </w:p>
    <w:p>
      <w:pPr>
        <w:ind w:firstLine="560"/>
        <w:rPr>
          <w:sz w:val="28"/>
          <w:szCs w:val="28"/>
        </w:rPr>
      </w:pPr>
      <w:r>
        <w:rPr>
          <w:sz w:val="28"/>
          <w:szCs w:val="28"/>
        </w:rPr>
        <w:t>智能终端设备包含智能电子秤和危废规范化管理终端。</w:t>
      </w:r>
    </w:p>
    <w:p>
      <w:pPr>
        <w:ind w:firstLine="560"/>
        <w:rPr>
          <w:sz w:val="28"/>
          <w:szCs w:val="28"/>
        </w:rPr>
      </w:pPr>
      <w:r>
        <w:rPr>
          <w:sz w:val="28"/>
          <w:szCs w:val="28"/>
        </w:rPr>
        <w:t>智能电子秤：固废产生单位配备智能电子秤，称重数据通过危废规范化管理终端实时上传到平台，实现废物即时产生、即时申报。</w:t>
      </w:r>
    </w:p>
    <w:p>
      <w:pPr>
        <w:ind w:firstLine="560"/>
        <w:rPr>
          <w:sz w:val="28"/>
          <w:szCs w:val="28"/>
        </w:rPr>
      </w:pPr>
      <w:r>
        <w:rPr>
          <w:sz w:val="28"/>
          <w:szCs w:val="28"/>
        </w:rPr>
        <w:t>危废规范化管理终端：危废规范化管理终端支持实时自动获取收集智能电子秤的称重数据，同步将危废称重数据自动获取并实时上传至平台，智能终端具备二维码标签打印功能。</w:t>
      </w:r>
    </w:p>
    <w:p>
      <w:pPr>
        <w:ind w:firstLine="560"/>
        <w:rPr>
          <w:sz w:val="28"/>
          <w:szCs w:val="28"/>
        </w:rPr>
      </w:pPr>
      <w:r>
        <w:rPr>
          <w:sz w:val="28"/>
          <w:szCs w:val="28"/>
        </w:rPr>
        <w:t>将确保软件平台与危废终端硬件的接口适配。</w:t>
      </w:r>
    </w:p>
    <w:p>
      <w:pPr>
        <w:pStyle w:val="8"/>
      </w:pPr>
      <w:r>
        <w:t>全程视频监控</w:t>
      </w:r>
    </w:p>
    <w:p>
      <w:pPr>
        <w:ind w:firstLine="560"/>
        <w:rPr>
          <w:sz w:val="28"/>
          <w:szCs w:val="28"/>
        </w:rPr>
      </w:pPr>
      <w:r>
        <w:rPr>
          <w:sz w:val="28"/>
          <w:szCs w:val="28"/>
        </w:rPr>
        <w:t>将每家企业危险废物产生节点、危险废物仓库、物流通道、危险废物预处理区、危险废物处置车间等区域视频接入到平台中；支持查看贮存仓库实时详细信息（包括主要贮存危废类别、贮存量、每个包装二维码标签信息和追踪信息），并可查看该库房的台账信息。</w:t>
      </w:r>
    </w:p>
    <w:p>
      <w:pPr>
        <w:pStyle w:val="9"/>
        <w:rPr>
          <w:rFonts w:ascii="Times New Roman" w:hAnsi="Times New Roman"/>
        </w:rPr>
      </w:pPr>
      <w:r>
        <w:rPr>
          <w:rFonts w:ascii="Times New Roman" w:hAnsi="Times New Roman"/>
        </w:rPr>
        <w:t>危废产生“可视化”</w:t>
      </w:r>
    </w:p>
    <w:p>
      <w:pPr>
        <w:ind w:firstLine="560"/>
        <w:rPr>
          <w:sz w:val="28"/>
          <w:szCs w:val="28"/>
        </w:rPr>
      </w:pPr>
      <w:r>
        <w:rPr>
          <w:sz w:val="28"/>
          <w:szCs w:val="28"/>
        </w:rPr>
        <w:t>接入企业贮存、处置、生产场所等视频，可实时播放现场视频监控点的视频图像，可单窗口播放，也可多窗口同时播放不同监控点的视频图像。</w:t>
      </w:r>
    </w:p>
    <w:p>
      <w:pPr>
        <w:pStyle w:val="9"/>
        <w:rPr>
          <w:rFonts w:ascii="Times New Roman" w:hAnsi="Times New Roman"/>
        </w:rPr>
      </w:pPr>
      <w:r>
        <w:rPr>
          <w:rFonts w:ascii="Times New Roman" w:hAnsi="Times New Roman"/>
        </w:rPr>
        <w:t>危废贮存“可视化”</w:t>
      </w:r>
    </w:p>
    <w:p>
      <w:pPr>
        <w:ind w:firstLine="560"/>
        <w:rPr>
          <w:sz w:val="28"/>
          <w:szCs w:val="28"/>
        </w:rPr>
      </w:pPr>
      <w:r>
        <w:rPr>
          <w:sz w:val="28"/>
          <w:szCs w:val="28"/>
        </w:rPr>
        <w:t>规范化企业危废贮存仓库，按照相关规范安装视频监控设备，基于固体废物环境监管平台的产废申报、产废入库等关键时间戳，自动匹配视频图像信息，并利用危险废物贮存数据、仓库进出入记录和仓库监控画面，实现贮存仓库实时详细信息的查看（包括主要贮存危废类别、贮存量、每个包装二维码标签信息和追踪信息），并可查看该库房的台账信息。</w:t>
      </w:r>
    </w:p>
    <w:p>
      <w:pPr>
        <w:pStyle w:val="9"/>
        <w:rPr>
          <w:rFonts w:ascii="Times New Roman" w:hAnsi="Times New Roman"/>
        </w:rPr>
      </w:pPr>
      <w:r>
        <w:rPr>
          <w:rFonts w:ascii="Times New Roman" w:hAnsi="Times New Roman"/>
        </w:rPr>
        <w:t>危废处置“可视化”</w:t>
      </w:r>
    </w:p>
    <w:p>
      <w:pPr>
        <w:ind w:firstLine="560"/>
        <w:rPr>
          <w:sz w:val="28"/>
          <w:szCs w:val="28"/>
        </w:rPr>
      </w:pPr>
      <w:r>
        <w:rPr>
          <w:sz w:val="28"/>
          <w:szCs w:val="28"/>
        </w:rPr>
        <w:t>通过对危险废物处置设施现场视频监控点进行有效整合，实现对危险废物处置设施运行状况、监控设备运转情况、网络连通情况的实时监控可视化管理。</w:t>
      </w:r>
    </w:p>
    <w:p>
      <w:pPr>
        <w:pStyle w:val="9"/>
        <w:rPr>
          <w:rFonts w:ascii="Times New Roman" w:hAnsi="Times New Roman"/>
        </w:rPr>
      </w:pPr>
      <w:r>
        <w:rPr>
          <w:rFonts w:ascii="Times New Roman" w:hAnsi="Times New Roman"/>
        </w:rPr>
        <w:t>事件回溯“可视化”</w:t>
      </w:r>
    </w:p>
    <w:p>
      <w:pPr>
        <w:ind w:firstLine="560"/>
        <w:rPr>
          <w:sz w:val="28"/>
          <w:szCs w:val="28"/>
        </w:rPr>
      </w:pPr>
      <w:r>
        <w:rPr>
          <w:sz w:val="28"/>
          <w:szCs w:val="28"/>
        </w:rPr>
        <w:t>企业已安装设备如支持智能预警功能，系统可获取视频预警信息，并自动记录该段时间的视频信息，生成预警信息，管理人员可按设施名称、时间（点/分/秒、年/月/日）等实现视频录像的条件查询。</w:t>
      </w:r>
    </w:p>
    <w:p>
      <w:pPr>
        <w:pStyle w:val="7"/>
      </w:pPr>
      <w:r>
        <w:t>实时动态监控</w:t>
      </w:r>
    </w:p>
    <w:p>
      <w:pPr>
        <w:pStyle w:val="8"/>
      </w:pPr>
      <w:r>
        <w:t>产废申报</w:t>
      </w:r>
    </w:p>
    <w:p>
      <w:pPr>
        <w:ind w:firstLine="560"/>
        <w:rPr>
          <w:sz w:val="28"/>
          <w:szCs w:val="28"/>
        </w:rPr>
      </w:pPr>
      <w:r>
        <w:rPr>
          <w:sz w:val="28"/>
          <w:szCs w:val="28"/>
        </w:rPr>
        <w:t>系统根据产废单位的产废台账，自动按昨日、今日、本周和本月的时间维度统计全市产废数申报量。</w:t>
      </w:r>
    </w:p>
    <w:p>
      <w:pPr>
        <w:pStyle w:val="8"/>
      </w:pPr>
      <w:r>
        <w:t>出入库监控</w:t>
      </w:r>
    </w:p>
    <w:p>
      <w:pPr>
        <w:ind w:firstLine="560"/>
        <w:rPr>
          <w:sz w:val="28"/>
          <w:szCs w:val="28"/>
        </w:rPr>
      </w:pPr>
      <w:r>
        <w:rPr>
          <w:sz w:val="28"/>
          <w:szCs w:val="28"/>
        </w:rPr>
        <w:t>结合地磅智能终端物联感知信息，自动统计入库量和出库量，可动态查询每家企业的当日出入库动态，自动按昨日、今日、本周和本月的时间维度统计全市出入库台账。</w:t>
      </w:r>
    </w:p>
    <w:p>
      <w:pPr>
        <w:pStyle w:val="8"/>
      </w:pPr>
      <w:r>
        <w:t>转移监控</w:t>
      </w:r>
    </w:p>
    <w:p>
      <w:pPr>
        <w:pStyle w:val="9"/>
        <w:rPr>
          <w:rFonts w:ascii="Times New Roman" w:hAnsi="Times New Roman"/>
        </w:rPr>
      </w:pPr>
      <w:r>
        <w:rPr>
          <w:rFonts w:ascii="Times New Roman" w:hAnsi="Times New Roman"/>
        </w:rPr>
        <w:t>转移联单监控</w:t>
      </w:r>
    </w:p>
    <w:p>
      <w:pPr>
        <w:ind w:firstLine="560"/>
        <w:rPr>
          <w:sz w:val="28"/>
          <w:szCs w:val="28"/>
        </w:rPr>
      </w:pPr>
      <w:r>
        <w:rPr>
          <w:sz w:val="28"/>
          <w:szCs w:val="28"/>
        </w:rPr>
        <w:t>系统根据转移联单数据，自动按昨日、今日、本周和本月的时间维度统计市内转移和市外转移量。</w:t>
      </w:r>
    </w:p>
    <w:p>
      <w:pPr>
        <w:ind w:firstLine="560"/>
        <w:rPr>
          <w:sz w:val="28"/>
          <w:szCs w:val="28"/>
        </w:rPr>
      </w:pPr>
      <w:r>
        <w:rPr>
          <w:sz w:val="28"/>
          <w:szCs w:val="28"/>
        </w:rPr>
        <w:t>基于电子地图，直观展现危险废物市内转移情况，通过危废转移流向地图可查看危废完整转移种类、数量和路径。同时通过电子地图可查询电子联单信息，查看转移联单的同时，实现数据下钻，查看联单对应的转移的危险废物的批次信息，对每一个批次危废可进行全过程跟踪。</w:t>
      </w:r>
    </w:p>
    <w:p>
      <w:pPr>
        <w:pStyle w:val="9"/>
        <w:rPr>
          <w:rFonts w:ascii="Times New Roman" w:hAnsi="Times New Roman"/>
        </w:rPr>
      </w:pPr>
      <w:r>
        <w:rPr>
          <w:rFonts w:ascii="Times New Roman" w:hAnsi="Times New Roman"/>
        </w:rPr>
        <w:t>转移轨迹监控</w:t>
      </w:r>
    </w:p>
    <w:p>
      <w:pPr>
        <w:ind w:firstLine="560"/>
        <w:rPr>
          <w:sz w:val="28"/>
          <w:szCs w:val="28"/>
        </w:rPr>
      </w:pPr>
      <w:r>
        <w:rPr>
          <w:sz w:val="28"/>
          <w:szCs w:val="28"/>
        </w:rPr>
        <w:t>系统与交管部门危废运输车辆信息对接，获取车载GPS数据，通过接入运输车辆GPS数据，可基于地图展示危废运输车辆的实时运输状态，查看车辆运输轨迹，可将运输轨迹与电子联单进行关联查看。</w:t>
      </w:r>
    </w:p>
    <w:p>
      <w:pPr>
        <w:ind w:firstLine="560"/>
        <w:rPr>
          <w:sz w:val="28"/>
          <w:szCs w:val="28"/>
        </w:rPr>
      </w:pPr>
      <w:r>
        <w:rPr>
          <w:sz w:val="28"/>
          <w:szCs w:val="28"/>
        </w:rPr>
        <w:t>选择具体的运输车辆，可在地图上实时查看车辆所处的位置，以及装载危险废物的转移联单信息等。通过选择车辆、联单号、运输时间等信息，可查看车辆的运输轨迹。</w:t>
      </w:r>
    </w:p>
    <w:p>
      <w:pPr>
        <w:pStyle w:val="8"/>
      </w:pPr>
      <w:r>
        <w:t>处置台账</w:t>
      </w:r>
    </w:p>
    <w:p>
      <w:pPr>
        <w:ind w:firstLine="560"/>
        <w:rPr>
          <w:sz w:val="28"/>
          <w:szCs w:val="28"/>
        </w:rPr>
      </w:pPr>
      <w:r>
        <w:rPr>
          <w:sz w:val="28"/>
          <w:szCs w:val="28"/>
        </w:rPr>
        <w:t>系统根据利用处置单位的处置台账，自动按昨日、今日、本周和本月的时间维度统计全市危废处置台账。</w:t>
      </w:r>
    </w:p>
    <w:bookmarkEnd w:id="85"/>
    <w:p>
      <w:pPr>
        <w:pStyle w:val="6"/>
        <w:rPr>
          <w:lang w:val="zh-CN"/>
        </w:rPr>
      </w:pPr>
      <w:bookmarkStart w:id="86" w:name="_Ref46132697"/>
      <w:bookmarkStart w:id="87" w:name="_Toc62459058"/>
      <w:bookmarkStart w:id="88" w:name="_Toc62044932"/>
      <w:bookmarkStart w:id="89" w:name="_Toc62459057"/>
      <w:r>
        <w:rPr>
          <w:lang w:val="zh-CN"/>
        </w:rPr>
        <w:t>危废全生命周期追溯</w:t>
      </w:r>
      <w:bookmarkEnd w:id="86"/>
      <w:bookmarkEnd w:id="87"/>
      <w:bookmarkEnd w:id="88"/>
    </w:p>
    <w:p>
      <w:pPr>
        <w:ind w:firstLine="560"/>
        <w:rPr>
          <w:sz w:val="28"/>
          <w:szCs w:val="28"/>
        </w:rPr>
      </w:pPr>
      <w:r>
        <w:rPr>
          <w:sz w:val="28"/>
          <w:szCs w:val="28"/>
        </w:rPr>
        <w:t>通过对产废包装电子监管码实现数据的追踪，实现对危废进行全流程全生命周期追溯。</w:t>
      </w:r>
    </w:p>
    <w:p>
      <w:pPr>
        <w:pStyle w:val="7"/>
      </w:pPr>
      <w:r>
        <w:t>平台线上追溯</w:t>
      </w:r>
    </w:p>
    <w:p>
      <w:pPr>
        <w:ind w:firstLine="560"/>
        <w:rPr>
          <w:sz w:val="28"/>
          <w:szCs w:val="28"/>
        </w:rPr>
      </w:pPr>
      <w:r>
        <w:rPr>
          <w:sz w:val="28"/>
          <w:szCs w:val="28"/>
        </w:rPr>
        <w:t>实现产废源、贮存设施、自行利用处置设施、利用处置设施、危废产生、贮存、自行利用处置、委外转移、利用处置、利用处置后环节的数据查询。支持涉废企业产废台账信息与产废点关联查询，支持贮存台账信息与贮存点关联查询、利用处置台账信息与利用处置点关联查询。</w:t>
      </w:r>
    </w:p>
    <w:p>
      <w:pPr>
        <w:ind w:firstLine="560"/>
        <w:rPr>
          <w:sz w:val="28"/>
          <w:szCs w:val="28"/>
        </w:rPr>
      </w:pPr>
      <w:r>
        <w:rPr>
          <w:sz w:val="28"/>
          <w:szCs w:val="28"/>
        </w:rPr>
        <w:t>提供涉废企业危废产生、贮存、自行利用处置、委外转移、利用处置、利用处置后环节等环节全流程追溯功能。</w:t>
      </w:r>
    </w:p>
    <w:p>
      <w:pPr>
        <w:ind w:firstLine="560"/>
        <w:rPr>
          <w:sz w:val="28"/>
          <w:szCs w:val="28"/>
        </w:rPr>
      </w:pPr>
      <w:r>
        <w:rPr>
          <w:sz w:val="28"/>
          <w:szCs w:val="28"/>
        </w:rPr>
        <w:t>在平台上可任意点击某一产废包装的电子监管码，通过移动终端扫描电子监管码，可追踪到该包危废的详细信息。包括该包危废的类型、产生点、产生时间、贮存点、贮存设施、转移时间、转移单位、利用处置单位等全生命周期的危废数据信息，实现“快递式”的全生命周期追溯。</w:t>
      </w:r>
    </w:p>
    <w:p>
      <w:pPr>
        <w:pStyle w:val="7"/>
      </w:pPr>
      <w:r>
        <w:t>线下扫码追溯</w:t>
      </w:r>
    </w:p>
    <w:p>
      <w:pPr>
        <w:ind w:firstLine="560"/>
        <w:rPr>
          <w:sz w:val="28"/>
          <w:szCs w:val="28"/>
        </w:rPr>
      </w:pPr>
      <w:r>
        <w:rPr>
          <w:sz w:val="28"/>
          <w:szCs w:val="28"/>
        </w:rPr>
        <w:t>在线下任意选择某一仓库中的某一危废包装，通过移动终端扫描该包危废上的电子监管码，可查看该包危废的类型、产生点、产生时间、贮存点、贮存设施、转移时间、转移单位、利用处置单位等全生命周期的危废数据信息进行追踪，实现“快递式”的全生命周期追溯。</w:t>
      </w:r>
    </w:p>
    <w:bookmarkEnd w:id="89"/>
    <w:p>
      <w:pPr>
        <w:pStyle w:val="6"/>
        <w:rPr>
          <w:lang w:val="zh-CN"/>
        </w:rPr>
      </w:pPr>
      <w:r>
        <w:rPr>
          <w:lang w:val="zh-CN"/>
        </w:rPr>
        <w:t>危废监控预警中心</w:t>
      </w:r>
    </w:p>
    <w:p>
      <w:pPr>
        <w:ind w:firstLine="560"/>
        <w:rPr>
          <w:sz w:val="28"/>
          <w:szCs w:val="28"/>
        </w:rPr>
      </w:pPr>
      <w:r>
        <w:rPr>
          <w:sz w:val="28"/>
          <w:szCs w:val="28"/>
        </w:rPr>
        <w:t>建立实时监控预警模块，对各类数据进行实时监控和预警，该模块具备以下功能点：</w:t>
      </w:r>
    </w:p>
    <w:p>
      <w:pPr>
        <w:pStyle w:val="7"/>
      </w:pPr>
      <w:r>
        <w:t>预警规则动态设置</w:t>
      </w:r>
    </w:p>
    <w:p>
      <w:pPr>
        <w:ind w:firstLine="560"/>
        <w:rPr>
          <w:sz w:val="28"/>
          <w:szCs w:val="28"/>
        </w:rPr>
      </w:pPr>
      <w:r>
        <w:rPr>
          <w:sz w:val="28"/>
          <w:szCs w:val="28"/>
        </w:rPr>
        <w:t>可从企业类别、用户类别、预警级别、预警类型等不同维度设置预警规则，支持预警规则自定义设置阈值。</w:t>
      </w:r>
    </w:p>
    <w:p>
      <w:pPr>
        <w:pStyle w:val="7"/>
      </w:pPr>
      <w:r>
        <w:t>实时预警</w:t>
      </w:r>
    </w:p>
    <w:p>
      <w:pPr>
        <w:pStyle w:val="8"/>
      </w:pPr>
      <w:r>
        <w:t>产废超量预警</w:t>
      </w:r>
    </w:p>
    <w:p>
      <w:pPr>
        <w:ind w:firstLine="560"/>
        <w:rPr>
          <w:sz w:val="28"/>
          <w:szCs w:val="28"/>
        </w:rPr>
      </w:pPr>
      <w:r>
        <w:rPr>
          <w:sz w:val="28"/>
          <w:szCs w:val="28"/>
        </w:rPr>
        <w:t>提供产废超量预警功能，企业实际产废量即将超出管理计划申报量，系统进行预警提醒。</w:t>
      </w:r>
    </w:p>
    <w:p>
      <w:pPr>
        <w:pStyle w:val="8"/>
      </w:pPr>
      <w:r>
        <w:t>企业产废申报异常预警</w:t>
      </w:r>
    </w:p>
    <w:p>
      <w:pPr>
        <w:ind w:firstLine="560"/>
        <w:rPr>
          <w:sz w:val="28"/>
          <w:szCs w:val="28"/>
        </w:rPr>
      </w:pPr>
      <w:r>
        <w:rPr>
          <w:sz w:val="28"/>
          <w:szCs w:val="28"/>
        </w:rPr>
        <w:t>提供企业产废申报异常预警功能，根据接入企业的全过程数据，判断企业是否产生危废，企业申报数据与企业全过程监控数据比对出现异常，系统进行预警提醒。</w:t>
      </w:r>
    </w:p>
    <w:p>
      <w:pPr>
        <w:pStyle w:val="8"/>
      </w:pPr>
      <w:r>
        <w:t>贮存超期超量提醒</w:t>
      </w:r>
    </w:p>
    <w:p>
      <w:pPr>
        <w:ind w:firstLine="560"/>
        <w:rPr>
          <w:sz w:val="28"/>
          <w:szCs w:val="28"/>
        </w:rPr>
      </w:pPr>
      <w:r>
        <w:rPr>
          <w:sz w:val="28"/>
          <w:szCs w:val="28"/>
        </w:rPr>
        <w:t>提供贮存超期超量提醒功能，系统需自动计算危废入库时间，危废超期超量贮存，系统进行预警提醒。</w:t>
      </w:r>
    </w:p>
    <w:p>
      <w:pPr>
        <w:pStyle w:val="8"/>
      </w:pPr>
      <w:r>
        <w:t>车辆GPS位置偏移预警</w:t>
      </w:r>
    </w:p>
    <w:p>
      <w:pPr>
        <w:ind w:firstLine="560"/>
        <w:rPr>
          <w:sz w:val="28"/>
          <w:szCs w:val="28"/>
        </w:rPr>
      </w:pPr>
      <w:r>
        <w:rPr>
          <w:sz w:val="28"/>
          <w:szCs w:val="28"/>
        </w:rPr>
        <w:t>系统可对车辆位置进行定位，跟踪行驶轨迹，在GIS地图上能看到车辆的运动轨迹，监控车辆在特定时间转移情况，对于车辆偏移预设轨迹范围的，可进行报警提醒，提醒生态环境管理部门，及时处理。</w:t>
      </w:r>
    </w:p>
    <w:p>
      <w:pPr>
        <w:pStyle w:val="8"/>
      </w:pPr>
      <w:r>
        <w:t>转移转出量和接收量差异过大预警</w:t>
      </w:r>
    </w:p>
    <w:p>
      <w:pPr>
        <w:ind w:firstLine="560"/>
        <w:rPr>
          <w:sz w:val="28"/>
          <w:szCs w:val="28"/>
        </w:rPr>
      </w:pPr>
      <w:r>
        <w:rPr>
          <w:sz w:val="28"/>
          <w:szCs w:val="28"/>
        </w:rPr>
        <w:t>提供转移转出量和接收量差异过大预警功能，系统需自动计算危废的转出量与接收量，危废转出量与接收量相差较大时，系统进行预警提醒。</w:t>
      </w:r>
    </w:p>
    <w:p>
      <w:pPr>
        <w:pStyle w:val="8"/>
      </w:pPr>
      <w:r>
        <w:t>处置单位超负荷预警</w:t>
      </w:r>
    </w:p>
    <w:p>
      <w:pPr>
        <w:ind w:firstLine="560"/>
        <w:rPr>
          <w:sz w:val="28"/>
          <w:szCs w:val="28"/>
        </w:rPr>
      </w:pPr>
      <w:r>
        <w:rPr>
          <w:sz w:val="28"/>
          <w:szCs w:val="28"/>
        </w:rPr>
        <w:t>当经营单位许可能力达到一定限度，如超过允许处置量，即许可证上的核准量，系统可发出预警信息。产废单位入库存贮废物时间超过期限，系统进行超期贮存预警。</w:t>
      </w:r>
    </w:p>
    <w:p>
      <w:pPr>
        <w:pStyle w:val="7"/>
      </w:pPr>
      <w:r>
        <w:t>预警处置</w:t>
      </w:r>
    </w:p>
    <w:p>
      <w:pPr>
        <w:pStyle w:val="8"/>
      </w:pPr>
      <w:r>
        <w:t>预警信息推送</w:t>
      </w:r>
    </w:p>
    <w:p>
      <w:pPr>
        <w:ind w:firstLine="560"/>
        <w:rPr>
          <w:sz w:val="28"/>
          <w:szCs w:val="28"/>
        </w:rPr>
      </w:pPr>
      <w:r>
        <w:rPr>
          <w:sz w:val="28"/>
          <w:szCs w:val="28"/>
        </w:rPr>
        <w:t>提供不同类型、不同级别的预警信息推送功能，包括推送主题、推送内容等，帮助相关用户及时了解预警情况。</w:t>
      </w:r>
    </w:p>
    <w:p>
      <w:pPr>
        <w:pStyle w:val="8"/>
      </w:pPr>
      <w:r>
        <w:t>预警督办单发放</w:t>
      </w:r>
    </w:p>
    <w:p>
      <w:pPr>
        <w:ind w:firstLine="560"/>
        <w:rPr>
          <w:sz w:val="28"/>
          <w:szCs w:val="28"/>
        </w:rPr>
      </w:pPr>
      <w:r>
        <w:rPr>
          <w:sz w:val="28"/>
          <w:szCs w:val="28"/>
        </w:rPr>
        <w:t>提供预警处置督办单发放功能，系统生成预警处置督办单（根据权限分类），发放给相关用户，通知用户及时完成预警处置。</w:t>
      </w:r>
    </w:p>
    <w:p>
      <w:pPr>
        <w:pStyle w:val="8"/>
      </w:pPr>
      <w:r>
        <w:t>预警情况处置反馈</w:t>
      </w:r>
    </w:p>
    <w:p>
      <w:pPr>
        <w:ind w:firstLine="560"/>
        <w:rPr>
          <w:sz w:val="28"/>
          <w:szCs w:val="28"/>
        </w:rPr>
      </w:pPr>
      <w:r>
        <w:rPr>
          <w:sz w:val="28"/>
          <w:szCs w:val="28"/>
        </w:rPr>
        <w:t>提供预警情况处置反馈功能，通过填报预警处置督办单及时反馈预警信息的处置情况，方便系统更改预警处置状态。</w:t>
      </w:r>
    </w:p>
    <w:p>
      <w:pPr>
        <w:pStyle w:val="5"/>
      </w:pPr>
      <w:bookmarkStart w:id="90" w:name="_Toc58243223"/>
      <w:bookmarkStart w:id="91" w:name="_Toc62459059"/>
      <w:r>
        <w:t>移动端</w:t>
      </w:r>
      <w:bookmarkEnd w:id="90"/>
      <w:r>
        <w:t>APP</w:t>
      </w:r>
      <w:bookmarkEnd w:id="91"/>
    </w:p>
    <w:p>
      <w:pPr>
        <w:ind w:firstLine="560"/>
        <w:rPr>
          <w:sz w:val="28"/>
          <w:szCs w:val="28"/>
        </w:rPr>
      </w:pPr>
      <w:r>
        <w:rPr>
          <w:rFonts w:hint="eastAsia"/>
          <w:sz w:val="28"/>
          <w:szCs w:val="28"/>
        </w:rPr>
        <w:t>开发移动端A</w:t>
      </w:r>
      <w:r>
        <w:rPr>
          <w:sz w:val="28"/>
          <w:szCs w:val="28"/>
        </w:rPr>
        <w:t>PP</w:t>
      </w:r>
      <w:r>
        <w:rPr>
          <w:rFonts w:hint="eastAsia"/>
          <w:sz w:val="28"/>
          <w:szCs w:val="28"/>
        </w:rPr>
        <w:t>，便于监管部门</w:t>
      </w:r>
      <w:r>
        <w:rPr>
          <w:sz w:val="28"/>
          <w:szCs w:val="28"/>
        </w:rPr>
        <w:t>用户便捷化、移动化处理</w:t>
      </w:r>
      <w:r>
        <w:rPr>
          <w:sz w:val="28"/>
          <w:szCs w:val="28"/>
          <w:lang w:val="zh-CN"/>
        </w:rPr>
        <w:t>危废</w:t>
      </w:r>
      <w:r>
        <w:rPr>
          <w:sz w:val="28"/>
          <w:szCs w:val="28"/>
        </w:rPr>
        <w:t>管理日常工作。移动APP为Android手机应用开发环境搭建，后续可融合其他主流环境。</w:t>
      </w:r>
    </w:p>
    <w:p>
      <w:pPr>
        <w:ind w:firstLine="560"/>
        <w:rPr>
          <w:sz w:val="28"/>
          <w:szCs w:val="28"/>
        </w:rPr>
      </w:pPr>
      <w:r>
        <w:rPr>
          <w:sz w:val="28"/>
          <w:szCs w:val="28"/>
        </w:rPr>
        <w:t>管理端手机APP包括数据综合展示、任务管理、扫描检查、电子地图、一企一档、视频信息、统计分析。</w:t>
      </w:r>
    </w:p>
    <w:p>
      <w:pPr>
        <w:pStyle w:val="6"/>
      </w:pPr>
      <w:r>
        <w:t>综合展示</w:t>
      </w:r>
    </w:p>
    <w:p>
      <w:pPr>
        <w:ind w:firstLine="560"/>
        <w:rPr>
          <w:sz w:val="28"/>
          <w:szCs w:val="28"/>
        </w:rPr>
      </w:pPr>
      <w:r>
        <w:rPr>
          <w:sz w:val="28"/>
          <w:szCs w:val="28"/>
        </w:rPr>
        <w:t>对用户辖区范围内危废总量数据进行综合统计展示，展示内容包括本市产废家数、处置家数、产废总量、处置总量、产废分布、重点关注对象等。</w:t>
      </w:r>
    </w:p>
    <w:p>
      <w:pPr>
        <w:pStyle w:val="6"/>
      </w:pPr>
      <w:r>
        <w:t>任务管理</w:t>
      </w:r>
    </w:p>
    <w:p>
      <w:pPr>
        <w:ind w:firstLine="560"/>
        <w:rPr>
          <w:sz w:val="28"/>
          <w:szCs w:val="28"/>
        </w:rPr>
      </w:pPr>
      <w:r>
        <w:rPr>
          <w:sz w:val="28"/>
          <w:szCs w:val="28"/>
        </w:rPr>
        <w:t>系统为所有管理用户提供待办任务功能，自动接收系统发送来的待办事项等，在醒目位置对使用者进行提醒。</w:t>
      </w:r>
    </w:p>
    <w:p>
      <w:pPr>
        <w:pStyle w:val="6"/>
      </w:pPr>
      <w:r>
        <w:t>扫码检查</w:t>
      </w:r>
    </w:p>
    <w:p>
      <w:pPr>
        <w:ind w:firstLine="560"/>
        <w:rPr>
          <w:sz w:val="28"/>
          <w:szCs w:val="28"/>
        </w:rPr>
      </w:pPr>
      <w:r>
        <w:rPr>
          <w:sz w:val="28"/>
          <w:szCs w:val="28"/>
        </w:rPr>
        <w:t>系统支持二维码识别功能，可通过启动移动端摄像头进行信息扫描，也可扫描移动端内部存储图片二维码，识别结果将对接平台数据库，并调取该二维码所匹配的联单或危废包装信息。</w:t>
      </w:r>
    </w:p>
    <w:p>
      <w:pPr>
        <w:ind w:firstLine="560"/>
        <w:rPr>
          <w:sz w:val="28"/>
          <w:szCs w:val="28"/>
        </w:rPr>
      </w:pPr>
      <w:r>
        <w:rPr>
          <w:sz w:val="28"/>
          <w:szCs w:val="28"/>
        </w:rPr>
        <w:t>在进入企业进行检查或者需要查看联单、危废信息时，通过此功能，只要扫描对应的二维码或者电子标签就可以查看到联单的所有信息及每个包装内的废物类型、产生时间、出入库时间、产生企业等。</w:t>
      </w:r>
    </w:p>
    <w:p>
      <w:pPr>
        <w:pStyle w:val="6"/>
      </w:pPr>
      <w:r>
        <w:t>电子地图</w:t>
      </w:r>
    </w:p>
    <w:p>
      <w:pPr>
        <w:ind w:firstLine="560"/>
        <w:rPr>
          <w:sz w:val="28"/>
          <w:szCs w:val="28"/>
        </w:rPr>
      </w:pPr>
      <w:r>
        <w:rPr>
          <w:sz w:val="28"/>
          <w:szCs w:val="28"/>
        </w:rPr>
        <w:t>电子地图可实现联单列表查看等功能。</w:t>
      </w:r>
    </w:p>
    <w:p>
      <w:pPr>
        <w:ind w:firstLine="560"/>
        <w:rPr>
          <w:sz w:val="28"/>
          <w:szCs w:val="28"/>
        </w:rPr>
      </w:pPr>
      <w:r>
        <w:rPr>
          <w:sz w:val="28"/>
          <w:szCs w:val="28"/>
        </w:rPr>
        <w:t>联单列表功能提供用户通过输入联单编号、转移日期、事件类型、联单状态、产废单位、运输单位、接受单位等条件进行联单信息查询。系统以列表形式显示联单相关信息。并可对显示的每条联单信息查看相应轨迹。</w:t>
      </w:r>
    </w:p>
    <w:p>
      <w:pPr>
        <w:pStyle w:val="6"/>
      </w:pPr>
      <w:r>
        <w:t>一企一档</w:t>
      </w:r>
    </w:p>
    <w:p>
      <w:pPr>
        <w:ind w:firstLine="560"/>
        <w:rPr>
          <w:sz w:val="28"/>
          <w:szCs w:val="28"/>
        </w:rPr>
      </w:pPr>
      <w:r>
        <w:rPr>
          <w:sz w:val="28"/>
          <w:szCs w:val="28"/>
        </w:rPr>
        <w:t>为管理用户提供辖区内所有产废、经营、转移单位的基础信息（详见企业端信息查询）、业务信息查询（包括转移计划、许可证、电子联单、车辆信息）以及统计分析、电子地图信息查询。</w:t>
      </w:r>
    </w:p>
    <w:p>
      <w:pPr>
        <w:pStyle w:val="6"/>
      </w:pPr>
      <w:r>
        <w:t>视频信息</w:t>
      </w:r>
    </w:p>
    <w:p>
      <w:pPr>
        <w:ind w:firstLine="560"/>
        <w:rPr>
          <w:sz w:val="28"/>
          <w:szCs w:val="28"/>
        </w:rPr>
      </w:pPr>
      <w:r>
        <w:rPr>
          <w:sz w:val="28"/>
          <w:szCs w:val="28"/>
        </w:rPr>
        <w:t>管理用户可通过移动端APP，对产生环节、贮存环节、处置环节的视频进行调取</w:t>
      </w:r>
      <w:r>
        <w:rPr>
          <w:rFonts w:hint="eastAsia"/>
          <w:sz w:val="28"/>
          <w:szCs w:val="28"/>
        </w:rPr>
        <w:t>查看</w:t>
      </w:r>
      <w:r>
        <w:rPr>
          <w:sz w:val="28"/>
          <w:szCs w:val="28"/>
        </w:rPr>
        <w:t>。</w:t>
      </w:r>
    </w:p>
    <w:p>
      <w:pPr>
        <w:pStyle w:val="6"/>
      </w:pPr>
      <w:r>
        <w:t>统计分析</w:t>
      </w:r>
    </w:p>
    <w:p>
      <w:pPr>
        <w:ind w:firstLine="560"/>
        <w:rPr>
          <w:sz w:val="28"/>
          <w:szCs w:val="28"/>
        </w:rPr>
      </w:pPr>
      <w:r>
        <w:rPr>
          <w:sz w:val="28"/>
          <w:szCs w:val="28"/>
        </w:rPr>
        <w:t>平台为管理端用户提供统计分析功能，可以实现危废相关信息的综合汇总、趋势分析、对比分析等。将多个业务中的数据整合汇总，方便管理人员随时全面掌握各类相关业务情况。</w:t>
      </w:r>
    </w:p>
    <w:p>
      <w:pPr>
        <w:pStyle w:val="5"/>
      </w:pPr>
      <w:r>
        <w:t>数据对接</w:t>
      </w:r>
    </w:p>
    <w:p>
      <w:pPr>
        <w:ind w:firstLine="560"/>
        <w:rPr>
          <w:sz w:val="28"/>
          <w:szCs w:val="28"/>
        </w:rPr>
      </w:pPr>
      <w:r>
        <w:rPr>
          <w:sz w:val="28"/>
          <w:szCs w:val="28"/>
        </w:rPr>
        <w:t>依托数据共享服务接口与河北省固体废物动态信息监控平台、</w:t>
      </w:r>
      <w:r>
        <w:rPr>
          <w:color w:val="000000"/>
          <w:kern w:val="0"/>
          <w:sz w:val="28"/>
          <w:szCs w:val="28"/>
        </w:rPr>
        <w:t>交管部门危废运输车辆信息</w:t>
      </w:r>
      <w:r>
        <w:rPr>
          <w:sz w:val="28"/>
          <w:szCs w:val="28"/>
        </w:rPr>
        <w:t>进行对接，提供涉市产废单位的基本信息、产废月报信息、联单信息、管理计划信息等，运输单位基本信息、车辆信息等，经营处置单位的基本信息、许可证信息（含处置能力、处置范围）与跨省市转移的联单信息等。</w:t>
      </w:r>
    </w:p>
    <w:p>
      <w:pPr>
        <w:pStyle w:val="5"/>
      </w:pPr>
      <w:r>
        <w:t>视频数据采集</w:t>
      </w:r>
    </w:p>
    <w:p>
      <w:pPr>
        <w:ind w:firstLine="560"/>
        <w:rPr>
          <w:sz w:val="28"/>
          <w:szCs w:val="28"/>
        </w:rPr>
      </w:pPr>
      <w:r>
        <w:rPr>
          <w:rFonts w:hint="eastAsia"/>
          <w:sz w:val="28"/>
          <w:szCs w:val="28"/>
        </w:rPr>
        <w:t>接入</w:t>
      </w:r>
      <w:r>
        <w:rPr>
          <w:sz w:val="28"/>
          <w:szCs w:val="28"/>
        </w:rPr>
        <w:t>视频管理平台，实现对其辖区内的企业视频接入和管理能力，实现视频汇聚和管理，可调取查看监管的视频图像、分析结果和告警数据。</w:t>
      </w:r>
    </w:p>
    <w:p>
      <w:pPr>
        <w:pStyle w:val="6"/>
      </w:pPr>
      <w:r>
        <w:t>视频管理平台</w:t>
      </w:r>
    </w:p>
    <w:p>
      <w:pPr>
        <w:pStyle w:val="7"/>
        <w:rPr>
          <w:szCs w:val="24"/>
        </w:rPr>
      </w:pPr>
      <w:r>
        <w:rPr>
          <w:szCs w:val="24"/>
        </w:rPr>
        <w:t>视频汇聚</w:t>
      </w:r>
    </w:p>
    <w:p>
      <w:pPr>
        <w:ind w:firstLine="560"/>
        <w:rPr>
          <w:sz w:val="28"/>
          <w:szCs w:val="28"/>
        </w:rPr>
      </w:pPr>
      <w:r>
        <w:rPr>
          <w:sz w:val="28"/>
          <w:szCs w:val="28"/>
        </w:rPr>
        <w:t>支持依托视频管理平台，通过国标GB28181协议接入，实现企业视频监控数据接入、汇聚和管理（视频接入实施费用由企业自行付费接入）。</w:t>
      </w:r>
    </w:p>
    <w:p>
      <w:pPr>
        <w:pStyle w:val="7"/>
        <w:rPr>
          <w:szCs w:val="24"/>
        </w:rPr>
      </w:pPr>
      <w:r>
        <w:rPr>
          <w:szCs w:val="24"/>
        </w:rPr>
        <w:t>实时监控</w:t>
      </w:r>
    </w:p>
    <w:p>
      <w:pPr>
        <w:ind w:firstLine="560"/>
        <w:rPr>
          <w:sz w:val="28"/>
        </w:rPr>
      </w:pPr>
      <w:r>
        <w:rPr>
          <w:sz w:val="28"/>
        </w:rPr>
        <w:t>可实时调阅指定区域、指定企业、指定监控设备、指定通道的视频监控画面，支持多用户对同一图像资源的同时调阅。</w:t>
      </w:r>
    </w:p>
    <w:p>
      <w:pPr>
        <w:ind w:firstLine="560"/>
        <w:rPr>
          <w:sz w:val="28"/>
        </w:rPr>
      </w:pPr>
      <w:r>
        <w:rPr>
          <w:sz w:val="28"/>
        </w:rPr>
        <w:t>实时浏览：可以实时了解到摄像机所在现场的情况。可实时查看现场情况，无需人员到达现场，从而节省人力成本。并及时了解异常情况，提升现场问题的解决效率。同时约束管理区域内人员的行为，起到震慑作用。</w:t>
      </w:r>
    </w:p>
    <w:p>
      <w:pPr>
        <w:pStyle w:val="7"/>
        <w:rPr>
          <w:szCs w:val="24"/>
        </w:rPr>
      </w:pPr>
      <w:r>
        <w:rPr>
          <w:szCs w:val="24"/>
        </w:rPr>
        <w:t>视频管理</w:t>
      </w:r>
    </w:p>
    <w:p>
      <w:pPr>
        <w:ind w:firstLine="560"/>
        <w:rPr>
          <w:sz w:val="28"/>
        </w:rPr>
      </w:pPr>
      <w:r>
        <w:rPr>
          <w:sz w:val="28"/>
        </w:rPr>
        <w:t>视频抽取：使用UDP协议来传输视频相对TCP协议更理想。在视频传输抽取时将遵循RTP：实时传输协议、RTCP：控制协议、RTSP：实时流协议。</w:t>
      </w:r>
    </w:p>
    <w:p>
      <w:pPr>
        <w:ind w:firstLine="560"/>
        <w:rPr>
          <w:sz w:val="28"/>
        </w:rPr>
      </w:pPr>
      <w:r>
        <w:rPr>
          <w:sz w:val="28"/>
        </w:rPr>
        <w:t>视频转码：转码本质上是一个先解码，再编码的过程。原始数据以MPEG-2格式的视频压缩文件经网络传输至视频服务器。</w:t>
      </w:r>
    </w:p>
    <w:p>
      <w:pPr>
        <w:ind w:firstLine="560"/>
        <w:rPr>
          <w:sz w:val="28"/>
        </w:rPr>
      </w:pPr>
      <w:r>
        <w:rPr>
          <w:sz w:val="28"/>
        </w:rPr>
        <w:t>视频截取：选择时间节点或预设截取规则，匹配视频文件编码以及时间节点对应图像帧，选择起始时间节点，实现视频与音频的截取操作。</w:t>
      </w:r>
    </w:p>
    <w:p>
      <w:pPr>
        <w:pStyle w:val="6"/>
      </w:pPr>
      <w:r>
        <w:t>企业视频AI分析结果接入</w:t>
      </w:r>
    </w:p>
    <w:p>
      <w:pPr>
        <w:ind w:firstLine="560"/>
        <w:rPr>
          <w:sz w:val="28"/>
          <w:szCs w:val="28"/>
        </w:rPr>
      </w:pPr>
      <w:r>
        <w:rPr>
          <w:sz w:val="28"/>
          <w:szCs w:val="28"/>
        </w:rPr>
        <w:t>平台提供标准接口，企业按照标准规范自行接入视频AI分析结果信息，如危废运输车辆车牌识别、出入库行为识别等。</w:t>
      </w:r>
    </w:p>
    <w:p>
      <w:pPr>
        <w:pStyle w:val="4"/>
      </w:pPr>
      <w:bookmarkStart w:id="92" w:name="_Toc97654072"/>
      <w:r>
        <w:t>网络系统建设方案</w:t>
      </w:r>
      <w:bookmarkEnd w:id="92"/>
    </w:p>
    <w:p>
      <w:pPr>
        <w:ind w:firstLine="560"/>
        <w:rPr>
          <w:sz w:val="28"/>
          <w:szCs w:val="28"/>
        </w:rPr>
      </w:pPr>
      <w:r>
        <w:rPr>
          <w:sz w:val="28"/>
          <w:szCs w:val="28"/>
        </w:rPr>
        <w:t>保定市危险废物智能化环境监管平台网络建设遵循技术先进、稳定实用、结构合理、低成本、易维护的基本原则，规划系统网络的整体构架。</w:t>
      </w:r>
      <w:r>
        <w:rPr>
          <w:rFonts w:hint="eastAsia"/>
          <w:sz w:val="28"/>
          <w:szCs w:val="28"/>
        </w:rPr>
        <w:t>本项目依托保定市政务云提供网络基础设施保障。</w:t>
      </w:r>
    </w:p>
    <w:p>
      <w:pPr>
        <w:ind w:firstLine="560"/>
        <w:rPr>
          <w:sz w:val="28"/>
          <w:szCs w:val="28"/>
        </w:rPr>
      </w:pPr>
      <w:r>
        <w:rPr>
          <w:sz w:val="28"/>
          <w:szCs w:val="28"/>
        </w:rPr>
        <w:t>一、技术先进性</w:t>
      </w:r>
    </w:p>
    <w:p>
      <w:pPr>
        <w:ind w:firstLine="560"/>
        <w:rPr>
          <w:sz w:val="28"/>
          <w:szCs w:val="28"/>
        </w:rPr>
      </w:pPr>
      <w:r>
        <w:rPr>
          <w:sz w:val="28"/>
          <w:szCs w:val="28"/>
        </w:rPr>
        <w:t>系统所使用的技术符合高新技术的潮流，在满足目前功能和性能要求的前提下，具有前瞻性，在今后较长一段时间内保持一定的技术先进性。</w:t>
      </w:r>
    </w:p>
    <w:p>
      <w:pPr>
        <w:ind w:firstLine="560"/>
        <w:rPr>
          <w:sz w:val="28"/>
          <w:szCs w:val="28"/>
        </w:rPr>
      </w:pPr>
      <w:r>
        <w:rPr>
          <w:sz w:val="28"/>
          <w:szCs w:val="28"/>
        </w:rPr>
        <w:t>二、安全可靠性</w:t>
      </w:r>
    </w:p>
    <w:p>
      <w:pPr>
        <w:ind w:firstLine="560"/>
        <w:rPr>
          <w:sz w:val="28"/>
          <w:szCs w:val="28"/>
        </w:rPr>
      </w:pPr>
      <w:r>
        <w:rPr>
          <w:sz w:val="28"/>
          <w:szCs w:val="28"/>
        </w:rPr>
        <w:t>对于保定市危险废物智能化环境监管平台网络建设来说，可靠性也是必须重点考虑的目标。因为随着固体废物信息化监管系统建设的深入，越来越多的业务开展会与专网紧密联系，一旦网络系统出现故障，将会给系统正常的运行带来很大的影响。对于可靠性，有设备的可靠性、也有网络链路的可靠性，都必须综合考虑。</w:t>
      </w:r>
    </w:p>
    <w:p>
      <w:pPr>
        <w:ind w:firstLine="560"/>
        <w:rPr>
          <w:sz w:val="28"/>
          <w:szCs w:val="28"/>
        </w:rPr>
      </w:pPr>
      <w:r>
        <w:rPr>
          <w:sz w:val="28"/>
          <w:szCs w:val="28"/>
        </w:rPr>
        <w:t>三、系统合理性</w:t>
      </w:r>
    </w:p>
    <w:p>
      <w:pPr>
        <w:ind w:firstLine="560"/>
        <w:rPr>
          <w:sz w:val="28"/>
          <w:szCs w:val="28"/>
        </w:rPr>
      </w:pPr>
      <w:r>
        <w:rPr>
          <w:sz w:val="28"/>
          <w:szCs w:val="28"/>
        </w:rPr>
        <w:t>网络的合理性包括了传输速率和设备性能等多个方面，在系统设计时，充分考虑系统容量及功能的扩充，方便系统扩容及平滑升级。系统对运行环境具有一定的适应性，不依赖于某一特定型号设备和固定版本的系统软件。</w:t>
      </w:r>
    </w:p>
    <w:p>
      <w:pPr>
        <w:ind w:firstLine="560"/>
        <w:rPr>
          <w:sz w:val="28"/>
          <w:szCs w:val="28"/>
        </w:rPr>
      </w:pPr>
      <w:r>
        <w:rPr>
          <w:sz w:val="28"/>
          <w:szCs w:val="28"/>
        </w:rPr>
        <w:t>四、经济性</w:t>
      </w:r>
    </w:p>
    <w:p>
      <w:pPr>
        <w:ind w:firstLine="560"/>
        <w:rPr>
          <w:sz w:val="28"/>
          <w:szCs w:val="28"/>
        </w:rPr>
      </w:pPr>
      <w:r>
        <w:rPr>
          <w:sz w:val="28"/>
          <w:szCs w:val="28"/>
        </w:rPr>
        <w:t>在满足系统功能及性能要求的前提下，尽量降低系统建设成本，采用经济实用的技术和设备，综合考虑系统的建设、升级和维护费用。系统具有向上兼容，向下兼容，配套兼容和前后版本转换等。</w:t>
      </w:r>
    </w:p>
    <w:p>
      <w:pPr>
        <w:ind w:firstLine="560"/>
        <w:rPr>
          <w:sz w:val="28"/>
          <w:szCs w:val="28"/>
        </w:rPr>
      </w:pPr>
      <w:r>
        <w:rPr>
          <w:sz w:val="28"/>
          <w:szCs w:val="28"/>
        </w:rPr>
        <w:t>五、系统可扩展性</w:t>
      </w:r>
    </w:p>
    <w:p>
      <w:pPr>
        <w:ind w:firstLine="560"/>
        <w:rPr>
          <w:sz w:val="28"/>
          <w:szCs w:val="28"/>
        </w:rPr>
      </w:pPr>
      <w:r>
        <w:rPr>
          <w:sz w:val="28"/>
          <w:szCs w:val="28"/>
        </w:rPr>
        <w:t>设备的部署和组合能够灵活配置，可扩展性强，扩展性包括设备的扩展性、链路的扩展性、对不同应用系统的扩展性等。</w:t>
      </w:r>
    </w:p>
    <w:p>
      <w:pPr>
        <w:ind w:firstLine="560"/>
        <w:rPr>
          <w:sz w:val="28"/>
          <w:szCs w:val="28"/>
        </w:rPr>
      </w:pPr>
      <w:r>
        <w:rPr>
          <w:sz w:val="28"/>
          <w:szCs w:val="28"/>
        </w:rPr>
        <w:t>六、易维护性</w:t>
      </w:r>
    </w:p>
    <w:p>
      <w:pPr>
        <w:ind w:firstLine="560"/>
        <w:rPr>
          <w:sz w:val="28"/>
          <w:szCs w:val="28"/>
        </w:rPr>
      </w:pPr>
      <w:r>
        <w:rPr>
          <w:sz w:val="28"/>
          <w:szCs w:val="28"/>
        </w:rPr>
        <w:t>系统操作简单，实用性高，具有易操作、易维护的特点，系统具有专业的管理维护终端，方便系统维护。并且，系统具备自检、故障诊断及故障弱化功能，在出现故障时，能得到及时、快速的进行自维护。</w:t>
      </w:r>
    </w:p>
    <w:p>
      <w:pPr>
        <w:ind w:firstLine="560"/>
        <w:rPr>
          <w:sz w:val="28"/>
          <w:szCs w:val="28"/>
        </w:rPr>
      </w:pPr>
      <w:r>
        <w:rPr>
          <w:sz w:val="28"/>
          <w:szCs w:val="28"/>
        </w:rPr>
        <w:t>本平台将基于保定市政务云平台部署，生态环境局及地方固废管理部门通过政务云网络访问平台，移动端用户通过互联网访问</w:t>
      </w:r>
      <w:r>
        <w:rPr>
          <w:rFonts w:hint="eastAsia"/>
          <w:sz w:val="28"/>
          <w:szCs w:val="28"/>
        </w:rPr>
        <w:t>，利用政务云网关实现互通。</w:t>
      </w:r>
    </w:p>
    <w:p>
      <w:pPr>
        <w:ind w:firstLine="560"/>
        <w:rPr>
          <w:sz w:val="28"/>
          <w:szCs w:val="28"/>
        </w:rPr>
      </w:pPr>
      <w:r>
        <w:rPr>
          <w:sz w:val="28"/>
          <w:szCs w:val="28"/>
        </w:rPr>
        <w:t>网络拓扑图如下：</w:t>
      </w:r>
    </w:p>
    <w:p>
      <w:pPr>
        <w:spacing w:line="360" w:lineRule="auto"/>
        <w:ind w:firstLine="0" w:firstLineChars="0"/>
        <w:jc w:val="center"/>
        <w:rPr>
          <w:sz w:val="28"/>
          <w:szCs w:val="28"/>
        </w:rPr>
      </w:pPr>
      <w:r>
        <w:rPr>
          <w:sz w:val="28"/>
          <w:szCs w:val="28"/>
        </w:rPr>
        <w:drawing>
          <wp:inline distT="0" distB="0" distL="0" distR="0">
            <wp:extent cx="5649595" cy="3585845"/>
            <wp:effectExtent l="0" t="0" r="8255" b="0"/>
            <wp:docPr id="5" name="图片 5" descr="C:\Users\zyf\Pictures\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yf\Pictures\图片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66390" cy="3596658"/>
                    </a:xfrm>
                    <a:prstGeom prst="rect">
                      <a:avLst/>
                    </a:prstGeom>
                    <a:noFill/>
                    <a:ln>
                      <a:noFill/>
                    </a:ln>
                  </pic:spPr>
                </pic:pic>
              </a:graphicData>
            </a:graphic>
          </wp:inline>
        </w:drawing>
      </w:r>
    </w:p>
    <w:p>
      <w:pPr>
        <w:pStyle w:val="4"/>
      </w:pPr>
      <w:bookmarkStart w:id="93" w:name="_Toc97654073"/>
      <w:r>
        <w:t>安全系统建设方案</w:t>
      </w:r>
      <w:bookmarkEnd w:id="93"/>
    </w:p>
    <w:p>
      <w:pPr>
        <w:pStyle w:val="5"/>
      </w:pPr>
      <w:bookmarkStart w:id="94" w:name="_Toc57808448"/>
      <w:bookmarkStart w:id="95" w:name="_Toc57762725"/>
      <w:bookmarkStart w:id="96" w:name="_Toc57762729"/>
      <w:bookmarkStart w:id="97" w:name="_Toc57808450"/>
      <w:bookmarkStart w:id="98" w:name="_Toc39052205"/>
      <w:bookmarkStart w:id="99" w:name="_Toc14835"/>
      <w:r>
        <w:t>信息系统安全等级预评估</w:t>
      </w:r>
      <w:bookmarkEnd w:id="94"/>
      <w:bookmarkEnd w:id="95"/>
    </w:p>
    <w:p>
      <w:pPr>
        <w:ind w:firstLine="560"/>
        <w:rPr>
          <w:bCs/>
          <w:kern w:val="24"/>
          <w:sz w:val="28"/>
          <w:szCs w:val="28"/>
        </w:rPr>
      </w:pPr>
      <w:r>
        <w:rPr>
          <w:kern w:val="24"/>
          <w:sz w:val="28"/>
          <w:szCs w:val="28"/>
        </w:rPr>
        <w:t>本项目安全包括业务信息安全和系统服务安全，</w:t>
      </w:r>
      <w:r>
        <w:rPr>
          <w:bCs/>
          <w:kern w:val="24"/>
          <w:sz w:val="28"/>
          <w:szCs w:val="28"/>
        </w:rPr>
        <w:t>根据</w:t>
      </w:r>
      <w:r>
        <w:rPr>
          <w:kern w:val="24"/>
          <w:sz w:val="28"/>
          <w:szCs w:val="28"/>
        </w:rPr>
        <w:t>相关的受侵害客体和对客体的侵害程度，</w:t>
      </w:r>
      <w:r>
        <w:rPr>
          <w:bCs/>
          <w:kern w:val="24"/>
          <w:sz w:val="28"/>
          <w:szCs w:val="28"/>
        </w:rPr>
        <w:t>信息系统安全等级预评估为等保二级。</w:t>
      </w:r>
    </w:p>
    <w:p>
      <w:pPr>
        <w:pStyle w:val="5"/>
      </w:pPr>
      <w:r>
        <w:t>网络安全设计</w:t>
      </w:r>
    </w:p>
    <w:p>
      <w:pPr>
        <w:ind w:firstLine="560"/>
        <w:rPr>
          <w:sz w:val="28"/>
          <w:szCs w:val="28"/>
        </w:rPr>
      </w:pPr>
      <w:r>
        <w:rPr>
          <w:sz w:val="28"/>
          <w:szCs w:val="28"/>
        </w:rPr>
        <w:t>本项目采用保定市政务云，基于政务云平台提供的基础设施部署应用，主机和网络安全方面可得到有效保障，拟申请主机加固、云防火墙、云堡垒机等服务保障网络安全。</w:t>
      </w:r>
    </w:p>
    <w:p>
      <w:pPr>
        <w:ind w:firstLine="560"/>
        <w:rPr>
          <w:sz w:val="28"/>
          <w:szCs w:val="28"/>
        </w:rPr>
      </w:pPr>
      <w:r>
        <w:rPr>
          <w:sz w:val="28"/>
          <w:szCs w:val="28"/>
        </w:rPr>
        <w:t>基于网络物理层、网络层、系统层、应用层、管理层安全风险分析，进行各层次网络安全设计。从网络结构、访问控制、安全审计、边界完整性检查、入侵防范、恶意代码防范和网络设备防护的具体内容</w:t>
      </w:r>
      <w:r>
        <w:rPr>
          <w:rFonts w:hint="eastAsia"/>
          <w:sz w:val="28"/>
          <w:szCs w:val="28"/>
        </w:rPr>
        <w:t>对</w:t>
      </w:r>
      <w:r>
        <w:rPr>
          <w:sz w:val="28"/>
          <w:szCs w:val="28"/>
        </w:rPr>
        <w:t>整体网络安全防护</w:t>
      </w:r>
      <w:r>
        <w:rPr>
          <w:rFonts w:hint="eastAsia"/>
          <w:sz w:val="28"/>
          <w:szCs w:val="28"/>
        </w:rPr>
        <w:t>提出如下要求。</w:t>
      </w:r>
    </w:p>
    <w:p>
      <w:pPr>
        <w:pStyle w:val="6"/>
        <w:spacing w:before="156" w:beforeLines="50" w:after="156" w:afterLines="50" w:line="360" w:lineRule="auto"/>
      </w:pPr>
      <w:bookmarkStart w:id="100" w:name="_Toc301791668"/>
      <w:bookmarkStart w:id="101" w:name="_Toc342901899"/>
      <w:bookmarkStart w:id="102" w:name="_Toc341950725"/>
      <w:bookmarkStart w:id="103" w:name="_Toc467137063"/>
      <w:bookmarkStart w:id="104" w:name="_Toc310063496"/>
      <w:r>
        <w:t>物理层的安全</w:t>
      </w:r>
      <w:bookmarkEnd w:id="100"/>
      <w:bookmarkEnd w:id="101"/>
      <w:bookmarkEnd w:id="102"/>
      <w:bookmarkEnd w:id="103"/>
      <w:bookmarkEnd w:id="104"/>
    </w:p>
    <w:p>
      <w:pPr>
        <w:ind w:firstLine="560"/>
        <w:rPr>
          <w:sz w:val="28"/>
          <w:szCs w:val="28"/>
        </w:rPr>
      </w:pPr>
      <w:r>
        <w:rPr>
          <w:sz w:val="28"/>
          <w:szCs w:val="28"/>
        </w:rPr>
        <w:t>网络的物理安全风险主要指网络周边环境和物理特性引起的网络设备和线路的不可用，而造成网络系统的不可用。它是整个网络系统安全的前提。如：</w:t>
      </w:r>
    </w:p>
    <w:p>
      <w:pPr>
        <w:numPr>
          <w:ilvl w:val="0"/>
          <w:numId w:val="34"/>
        </w:numPr>
        <w:spacing w:line="360" w:lineRule="auto"/>
        <w:ind w:left="0" w:firstLine="560"/>
        <w:rPr>
          <w:sz w:val="28"/>
          <w:szCs w:val="28"/>
        </w:rPr>
      </w:pPr>
      <w:r>
        <w:rPr>
          <w:sz w:val="28"/>
          <w:szCs w:val="28"/>
        </w:rPr>
        <w:t>设备被盗、被毁坏</w:t>
      </w:r>
    </w:p>
    <w:p>
      <w:pPr>
        <w:numPr>
          <w:ilvl w:val="0"/>
          <w:numId w:val="34"/>
        </w:numPr>
        <w:spacing w:line="360" w:lineRule="auto"/>
        <w:ind w:left="0" w:firstLine="560"/>
        <w:rPr>
          <w:sz w:val="28"/>
          <w:szCs w:val="28"/>
        </w:rPr>
      </w:pPr>
      <w:r>
        <w:rPr>
          <w:sz w:val="28"/>
          <w:szCs w:val="28"/>
        </w:rPr>
        <w:t>链路老化或被有意或者无意的破坏</w:t>
      </w:r>
    </w:p>
    <w:p>
      <w:pPr>
        <w:numPr>
          <w:ilvl w:val="0"/>
          <w:numId w:val="34"/>
        </w:numPr>
        <w:spacing w:line="360" w:lineRule="auto"/>
        <w:ind w:left="0" w:firstLine="560"/>
        <w:rPr>
          <w:sz w:val="28"/>
          <w:szCs w:val="28"/>
        </w:rPr>
      </w:pPr>
      <w:r>
        <w:rPr>
          <w:sz w:val="28"/>
          <w:szCs w:val="28"/>
        </w:rPr>
        <w:t>因电子辐射造成信息泄露</w:t>
      </w:r>
    </w:p>
    <w:p>
      <w:pPr>
        <w:numPr>
          <w:ilvl w:val="0"/>
          <w:numId w:val="34"/>
        </w:numPr>
        <w:spacing w:line="360" w:lineRule="auto"/>
        <w:ind w:left="0" w:firstLine="560"/>
        <w:rPr>
          <w:sz w:val="28"/>
          <w:szCs w:val="28"/>
        </w:rPr>
      </w:pPr>
      <w:r>
        <w:rPr>
          <w:sz w:val="28"/>
          <w:szCs w:val="28"/>
        </w:rPr>
        <w:t>设备意外故障、停电</w:t>
      </w:r>
    </w:p>
    <w:p>
      <w:pPr>
        <w:numPr>
          <w:ilvl w:val="0"/>
          <w:numId w:val="34"/>
        </w:numPr>
        <w:spacing w:line="360" w:lineRule="auto"/>
        <w:ind w:left="0" w:firstLine="560"/>
        <w:rPr>
          <w:sz w:val="28"/>
          <w:szCs w:val="28"/>
        </w:rPr>
      </w:pPr>
      <w:r>
        <w:rPr>
          <w:sz w:val="28"/>
          <w:szCs w:val="28"/>
        </w:rPr>
        <w:t>地震、火灾、水灾等自然灾害</w:t>
      </w:r>
    </w:p>
    <w:p>
      <w:pPr>
        <w:ind w:firstLine="560"/>
        <w:rPr>
          <w:sz w:val="28"/>
          <w:szCs w:val="28"/>
        </w:rPr>
      </w:pPr>
      <w:r>
        <w:rPr>
          <w:sz w:val="28"/>
          <w:szCs w:val="28"/>
        </w:rPr>
        <w:t>因此，环保专网在网络安全考虑时，首先要考虑物理安全。例如：设备被盗、被毁坏；设备老化、意外故障；计算机系统通过无线电辐射泄露秘密信息等。</w:t>
      </w:r>
    </w:p>
    <w:p>
      <w:pPr>
        <w:pStyle w:val="6"/>
        <w:spacing w:before="156" w:beforeLines="50" w:after="156" w:afterLines="50" w:line="360" w:lineRule="auto"/>
      </w:pPr>
      <w:bookmarkStart w:id="105" w:name="_Toc341950726"/>
      <w:bookmarkStart w:id="106" w:name="_Toc467137064"/>
      <w:bookmarkStart w:id="107" w:name="_Toc301791669"/>
      <w:bookmarkStart w:id="108" w:name="_Toc342901900"/>
      <w:bookmarkStart w:id="109" w:name="_Toc310063497"/>
      <w:r>
        <w:t>网络层的安全</w:t>
      </w:r>
      <w:bookmarkEnd w:id="105"/>
      <w:bookmarkEnd w:id="106"/>
      <w:bookmarkEnd w:id="107"/>
      <w:bookmarkEnd w:id="108"/>
      <w:bookmarkEnd w:id="109"/>
    </w:p>
    <w:p>
      <w:pPr>
        <w:ind w:firstLine="560"/>
        <w:rPr>
          <w:sz w:val="28"/>
          <w:szCs w:val="28"/>
        </w:rPr>
      </w:pPr>
      <w:r>
        <w:rPr>
          <w:sz w:val="28"/>
          <w:szCs w:val="28"/>
        </w:rPr>
        <w:t>（1）数据传输风险分析</w:t>
      </w:r>
    </w:p>
    <w:p>
      <w:pPr>
        <w:ind w:firstLine="560"/>
        <w:rPr>
          <w:sz w:val="28"/>
          <w:szCs w:val="28"/>
        </w:rPr>
      </w:pPr>
      <w:r>
        <w:rPr>
          <w:sz w:val="28"/>
          <w:szCs w:val="28"/>
        </w:rPr>
        <w:t>1、重要数据业务数据泄漏</w:t>
      </w:r>
    </w:p>
    <w:p>
      <w:pPr>
        <w:ind w:firstLine="560"/>
        <w:rPr>
          <w:sz w:val="28"/>
          <w:szCs w:val="28"/>
        </w:rPr>
      </w:pPr>
      <w:r>
        <w:rPr>
          <w:sz w:val="28"/>
          <w:szCs w:val="28"/>
        </w:rPr>
        <w:t>由于在同级局域网和上下级网络数据传输线路之间存在被窃听的威胁，同时局域网络内部也存在着内部攻击行为，其中包括登录通行字和一些敏感信息，可能被侵袭者搭线窃取和篡改，造成泄密。如果没有专门的软件或硬件对数据进行控制，所有的广域网通信都将不受限制地进行传输，因此任何一个对通信进行监测的人都可以对通信数据进行截取。这种形式的</w:t>
      </w:r>
      <w:r>
        <w:rPr>
          <w:rFonts w:hint="eastAsia"/>
          <w:sz w:val="28"/>
          <w:szCs w:val="28"/>
        </w:rPr>
        <w:t>“</w:t>
      </w:r>
      <w:r>
        <w:rPr>
          <w:sz w:val="28"/>
          <w:szCs w:val="28"/>
        </w:rPr>
        <w:t>攻击”是相对比较容易成功的，只要使用现在可以很容易得到的“包检测”软件即可。</w:t>
      </w:r>
    </w:p>
    <w:p>
      <w:pPr>
        <w:ind w:firstLine="560"/>
        <w:rPr>
          <w:sz w:val="28"/>
          <w:szCs w:val="28"/>
        </w:rPr>
      </w:pPr>
      <w:r>
        <w:rPr>
          <w:sz w:val="28"/>
          <w:szCs w:val="28"/>
        </w:rPr>
        <w:t>2、重要数据被破坏</w:t>
      </w:r>
    </w:p>
    <w:p>
      <w:pPr>
        <w:ind w:firstLine="560"/>
        <w:rPr>
          <w:sz w:val="28"/>
          <w:szCs w:val="28"/>
        </w:rPr>
      </w:pPr>
      <w:r>
        <w:rPr>
          <w:sz w:val="28"/>
          <w:szCs w:val="28"/>
        </w:rPr>
        <w:t>由于目前尚无安全的数据库及个人终端安全保护措施，还不能抵御来自网络上的各种对数据库及个人终端的攻击。同时一旦不法分子针对网上传输数据作出伪造、删除、窃取、窜改等攻击，都将造成十分严重的影响和损失。存储数据对于政府机关来说极为重要，如果由于通信线路的质量原因或者人为的恶意篡改，都将导致难以想象的后果，这也是网络犯罪的最大特征。</w:t>
      </w:r>
    </w:p>
    <w:p>
      <w:pPr>
        <w:ind w:firstLine="560"/>
        <w:rPr>
          <w:sz w:val="28"/>
          <w:szCs w:val="28"/>
        </w:rPr>
      </w:pPr>
      <w:r>
        <w:rPr>
          <w:sz w:val="28"/>
          <w:szCs w:val="28"/>
        </w:rPr>
        <w:t>（2）网络边界风险分析</w:t>
      </w:r>
    </w:p>
    <w:p>
      <w:pPr>
        <w:ind w:firstLine="560"/>
        <w:rPr>
          <w:sz w:val="28"/>
          <w:szCs w:val="28"/>
        </w:rPr>
      </w:pPr>
      <w:r>
        <w:rPr>
          <w:sz w:val="28"/>
          <w:szCs w:val="28"/>
        </w:rPr>
        <w:t>对专网中任意节点来说，其它所有网络节点都是不可信任域，都可能对该系统造成一定的安全威胁。</w:t>
      </w:r>
    </w:p>
    <w:p>
      <w:pPr>
        <w:ind w:firstLine="560"/>
        <w:rPr>
          <w:sz w:val="28"/>
          <w:szCs w:val="28"/>
        </w:rPr>
      </w:pPr>
      <w:r>
        <w:rPr>
          <w:sz w:val="28"/>
          <w:szCs w:val="28"/>
        </w:rPr>
        <w:t>一方面风险来自于内部，入侵者利用Sniffer等嗅探程序通过网络探测、扫描网络及操作系统存在的安全漏洞，如网络IP地址、应用操作系统的类型、开放哪些TCP端口号、系统保存用户名和口令等安全信息的关键文件等，并采用相应的攻击程序对内网进行攻击。</w:t>
      </w:r>
    </w:p>
    <w:p>
      <w:pPr>
        <w:ind w:firstLine="560"/>
        <w:rPr>
          <w:sz w:val="28"/>
          <w:szCs w:val="28"/>
        </w:rPr>
      </w:pPr>
      <w:r>
        <w:rPr>
          <w:sz w:val="28"/>
          <w:szCs w:val="28"/>
        </w:rPr>
        <w:t>入侵者通过网络监听等先进手段获得内部网用户的用户名、口令等信息，进而假冒内部合法身份进行非法登录，窃取内部网重要信息。</w:t>
      </w:r>
    </w:p>
    <w:p>
      <w:pPr>
        <w:ind w:firstLine="560"/>
        <w:rPr>
          <w:sz w:val="28"/>
          <w:szCs w:val="28"/>
        </w:rPr>
      </w:pPr>
      <w:r>
        <w:rPr>
          <w:sz w:val="28"/>
          <w:szCs w:val="28"/>
        </w:rPr>
        <w:t>入侵者通过拒绝服务攻击使服务器超负荷工作，使服务器拒绝系统访问服务甚至系统瘫痪。</w:t>
      </w:r>
    </w:p>
    <w:p>
      <w:pPr>
        <w:ind w:firstLine="560"/>
        <w:rPr>
          <w:sz w:val="28"/>
          <w:szCs w:val="28"/>
        </w:rPr>
      </w:pPr>
      <w:r>
        <w:rPr>
          <w:sz w:val="28"/>
          <w:szCs w:val="28"/>
        </w:rPr>
        <w:t>另一方面风险来自外部，有必要将公开服务器的外网及内部网络进行必要的隔离，避免网络结构信息外泄；同时还要对外网服务请求加以过滤，只允许正常通信的数据包到达相应主机，其它的请求服务在到达主机之前就应该遭到拒绝。</w:t>
      </w:r>
    </w:p>
    <w:p>
      <w:pPr>
        <w:pStyle w:val="6"/>
        <w:spacing w:before="156" w:beforeLines="50" w:after="156" w:afterLines="50" w:line="360" w:lineRule="auto"/>
      </w:pPr>
      <w:bookmarkStart w:id="110" w:name="_Toc342901901"/>
      <w:bookmarkStart w:id="111" w:name="_Toc341950727"/>
      <w:bookmarkStart w:id="112" w:name="_Toc301791670"/>
      <w:bookmarkStart w:id="113" w:name="_Toc467137065"/>
      <w:bookmarkStart w:id="114" w:name="_Toc310063498"/>
      <w:r>
        <w:t>系统层的安全</w:t>
      </w:r>
      <w:bookmarkEnd w:id="110"/>
      <w:bookmarkEnd w:id="111"/>
      <w:bookmarkEnd w:id="112"/>
      <w:bookmarkEnd w:id="113"/>
      <w:bookmarkEnd w:id="114"/>
    </w:p>
    <w:p>
      <w:pPr>
        <w:ind w:firstLine="560"/>
        <w:rPr>
          <w:sz w:val="28"/>
          <w:szCs w:val="28"/>
        </w:rPr>
      </w:pPr>
      <w:r>
        <w:rPr>
          <w:sz w:val="28"/>
          <w:szCs w:val="28"/>
        </w:rPr>
        <w:t>系统级的安全风险分析主要针对专网采用的操作系统、数据库、及相关商用产品的安全漏洞和病毒威胁进行分析。专网通常采用的操作系统本身在安全方面考虑较少，服务器、数据库的安全级别较低，存在一些安全隐患。同时病毒也是系统安全的主要威胁，所有这些都造成了系统安全的脆弱性。</w:t>
      </w:r>
    </w:p>
    <w:p>
      <w:pPr>
        <w:pStyle w:val="6"/>
        <w:spacing w:before="156" w:beforeLines="50" w:after="156" w:afterLines="50" w:line="360" w:lineRule="auto"/>
      </w:pPr>
      <w:bookmarkStart w:id="115" w:name="_Toc342901902"/>
      <w:bookmarkStart w:id="116" w:name="_Toc310063499"/>
      <w:bookmarkStart w:id="117" w:name="_Toc301791671"/>
      <w:bookmarkStart w:id="118" w:name="_Toc467137066"/>
      <w:bookmarkStart w:id="119" w:name="_Toc341950728"/>
      <w:r>
        <w:t>应用层的安全</w:t>
      </w:r>
      <w:bookmarkEnd w:id="115"/>
      <w:bookmarkEnd w:id="116"/>
      <w:bookmarkEnd w:id="117"/>
      <w:bookmarkEnd w:id="118"/>
      <w:bookmarkEnd w:id="119"/>
    </w:p>
    <w:p>
      <w:pPr>
        <w:ind w:firstLine="560"/>
        <w:rPr>
          <w:sz w:val="28"/>
          <w:szCs w:val="28"/>
        </w:rPr>
      </w:pPr>
      <w:r>
        <w:rPr>
          <w:sz w:val="28"/>
          <w:szCs w:val="28"/>
        </w:rPr>
        <w:t>专用网络应用系统中主要存在以下安全风险：对系统的非法访问；用户提交的业务信息被监听或修改；用户对成功提交的业务进行事后抵赖；服务系统伪装，骗取用户口令。</w:t>
      </w:r>
    </w:p>
    <w:p>
      <w:pPr>
        <w:ind w:firstLine="560"/>
        <w:rPr>
          <w:sz w:val="28"/>
          <w:szCs w:val="28"/>
        </w:rPr>
      </w:pPr>
      <w:r>
        <w:rPr>
          <w:sz w:val="28"/>
          <w:szCs w:val="28"/>
        </w:rPr>
        <w:t>由于专用网络对外提供WWW服务、EMAIL服务、DNS服务等，因此预防外网的非法用户对服务器攻击。下面从身份认证、DNS、WWW、邮件、文件服务等几方面分别加以详细说明：</w:t>
      </w:r>
    </w:p>
    <w:p>
      <w:pPr>
        <w:ind w:firstLine="560"/>
        <w:rPr>
          <w:sz w:val="28"/>
          <w:szCs w:val="28"/>
        </w:rPr>
      </w:pPr>
      <w:r>
        <w:rPr>
          <w:sz w:val="28"/>
          <w:szCs w:val="28"/>
        </w:rPr>
        <w:t>1、身份认证漏洞</w:t>
      </w:r>
    </w:p>
    <w:p>
      <w:pPr>
        <w:ind w:firstLine="560"/>
        <w:rPr>
          <w:sz w:val="28"/>
          <w:szCs w:val="28"/>
        </w:rPr>
      </w:pPr>
      <w:r>
        <w:rPr>
          <w:sz w:val="28"/>
          <w:szCs w:val="28"/>
        </w:rPr>
        <w:t>服务系统登录和主机登录使用的是静态口令，口令在一定时间内是不变的，且在数据库中有存储记录，可重复使用。这样非法用户通过网络窃听，非法数据库访问，穷举攻击，重放攻击等手段很容易得到这种静态口令，然后，利用口令，可对资源非法访问和越权操作。</w:t>
      </w:r>
    </w:p>
    <w:p>
      <w:pPr>
        <w:ind w:firstLine="560"/>
        <w:rPr>
          <w:sz w:val="28"/>
          <w:szCs w:val="28"/>
        </w:rPr>
      </w:pPr>
      <w:r>
        <w:rPr>
          <w:sz w:val="28"/>
          <w:szCs w:val="28"/>
        </w:rPr>
        <w:t>2、DNS服务威胁</w:t>
      </w:r>
    </w:p>
    <w:p>
      <w:pPr>
        <w:ind w:firstLine="560"/>
        <w:rPr>
          <w:sz w:val="28"/>
          <w:szCs w:val="28"/>
        </w:rPr>
      </w:pPr>
      <w:r>
        <w:rPr>
          <w:sz w:val="28"/>
          <w:szCs w:val="28"/>
        </w:rPr>
        <w:t>DNS域名服务为互联网应用提供了极大的灵活性。几乎所有的网络应用均利用域名服务。但是，域名服务通常为黑客提供了入侵网络的有用信息，如服务器的IP、操作系统信息、推导出可能的网络结构等。</w:t>
      </w:r>
    </w:p>
    <w:p>
      <w:pPr>
        <w:ind w:firstLine="560"/>
        <w:rPr>
          <w:sz w:val="28"/>
          <w:szCs w:val="28"/>
        </w:rPr>
      </w:pPr>
      <w:r>
        <w:rPr>
          <w:sz w:val="28"/>
          <w:szCs w:val="28"/>
        </w:rPr>
        <w:t>同时，新发现的针对BIND-NDS实现的安全漏洞也开始发现，而绝大多数的域名系统均存在类似的问题。如由于DNS查询使用无连接的UDP协议，利用可测的查询ID可欺骗域名服务器给出错误的主机名-IP对应关系。</w:t>
      </w:r>
    </w:p>
    <w:p>
      <w:pPr>
        <w:ind w:firstLine="560"/>
        <w:rPr>
          <w:sz w:val="28"/>
          <w:szCs w:val="28"/>
        </w:rPr>
      </w:pPr>
      <w:r>
        <w:rPr>
          <w:sz w:val="28"/>
          <w:szCs w:val="28"/>
        </w:rPr>
        <w:t>3、WWW服务漏洞</w:t>
      </w:r>
    </w:p>
    <w:p>
      <w:pPr>
        <w:ind w:firstLine="560"/>
        <w:rPr>
          <w:sz w:val="28"/>
          <w:szCs w:val="28"/>
        </w:rPr>
      </w:pPr>
      <w:r>
        <w:rPr>
          <w:sz w:val="28"/>
          <w:szCs w:val="28"/>
        </w:rPr>
        <w:t>网站是政府对外宣传、开展业务的重要基地，也是国家政府上网工程重要组成部分。由于其重要性，理所当然的成为黑客攻击的首选目标之一。</w:t>
      </w:r>
    </w:p>
    <w:p>
      <w:pPr>
        <w:ind w:firstLine="560"/>
        <w:rPr>
          <w:sz w:val="28"/>
          <w:szCs w:val="28"/>
        </w:rPr>
      </w:pPr>
      <w:r>
        <w:rPr>
          <w:sz w:val="28"/>
          <w:szCs w:val="28"/>
        </w:rPr>
        <w:t>网站经常成为互联网用户访问政府内部资源的通道之一，如通过中间件访问主机系统，通过数据库连接部件访问数据库，利用CGI访问本地文件系统或网络系统中其它资源。Web服务器越来越复杂，其被发现的安全漏洞越来越多。</w:t>
      </w:r>
    </w:p>
    <w:p>
      <w:pPr>
        <w:ind w:firstLine="560"/>
        <w:rPr>
          <w:sz w:val="28"/>
          <w:szCs w:val="28"/>
        </w:rPr>
      </w:pPr>
      <w:r>
        <w:rPr>
          <w:sz w:val="28"/>
          <w:szCs w:val="28"/>
        </w:rPr>
        <w:t>4、电子邮件系统漏洞</w:t>
      </w:r>
    </w:p>
    <w:p>
      <w:pPr>
        <w:ind w:firstLine="560"/>
        <w:rPr>
          <w:sz w:val="28"/>
          <w:szCs w:val="28"/>
        </w:rPr>
      </w:pPr>
      <w:r>
        <w:rPr>
          <w:sz w:val="28"/>
          <w:szCs w:val="28"/>
        </w:rPr>
        <w:t>电子邮件为网系统用户提供电子邮件应用。内部网用户可通过拔号或其它方式进行电子邮件发送和接收这就存在被黑客跟踪或收到一些恶意程序、病毒程序等，由于许多用户安全意识比较淡薄，对一些来历不明的邮件，没有警惕性，给入侵者提供机会，给系统带来不安全因素。</w:t>
      </w:r>
    </w:p>
    <w:p>
      <w:pPr>
        <w:pStyle w:val="6"/>
        <w:spacing w:before="156" w:beforeLines="50" w:after="156" w:afterLines="50" w:line="360" w:lineRule="auto"/>
      </w:pPr>
      <w:bookmarkStart w:id="120" w:name="_Toc341950729"/>
      <w:bookmarkStart w:id="121" w:name="_Toc310063500"/>
      <w:bookmarkStart w:id="122" w:name="_Toc342901903"/>
      <w:bookmarkStart w:id="123" w:name="_Toc301791672"/>
      <w:bookmarkStart w:id="124" w:name="_Toc467137067"/>
      <w:r>
        <w:t>管理层的安全</w:t>
      </w:r>
      <w:bookmarkEnd w:id="120"/>
      <w:bookmarkEnd w:id="121"/>
      <w:bookmarkEnd w:id="122"/>
      <w:bookmarkEnd w:id="123"/>
      <w:bookmarkEnd w:id="124"/>
    </w:p>
    <w:p>
      <w:pPr>
        <w:ind w:firstLine="560"/>
        <w:rPr>
          <w:sz w:val="28"/>
          <w:szCs w:val="28"/>
        </w:rPr>
      </w:pPr>
      <w:r>
        <w:rPr>
          <w:sz w:val="28"/>
          <w:szCs w:val="28"/>
        </w:rPr>
        <w:t>再安全的网络设备离不开人的管理，再好的安全策略最终要靠人来实现，因此管理是整个网络安全中最为重要的一环，尤其是对于一个比较庞大和复杂的网络，更是如此。因此有必要认真分析管理带来的安全风险，并采取相应安全措施。</w:t>
      </w:r>
    </w:p>
    <w:p>
      <w:pPr>
        <w:ind w:firstLine="560"/>
        <w:rPr>
          <w:sz w:val="28"/>
          <w:szCs w:val="28"/>
        </w:rPr>
      </w:pPr>
      <w:r>
        <w:rPr>
          <w:sz w:val="28"/>
          <w:szCs w:val="28"/>
        </w:rPr>
        <w:t>电子政务按照国家计算机和网络的关于安全管理条例，如《计算站场地安全要求》、《中华人民共和国计算机信息系统安全保护条例》等，制订安全管理制度。</w:t>
      </w:r>
    </w:p>
    <w:p>
      <w:pPr>
        <w:ind w:firstLine="560"/>
        <w:rPr>
          <w:sz w:val="28"/>
          <w:szCs w:val="28"/>
        </w:rPr>
      </w:pPr>
      <w:r>
        <w:rPr>
          <w:sz w:val="28"/>
          <w:szCs w:val="28"/>
        </w:rPr>
        <w:t>建立全新网络安全机制，必须深刻理解网络并能提供直接的解决方案，因此，最可行的做法是管理制度和管理解决方案的结合。</w:t>
      </w:r>
    </w:p>
    <w:p>
      <w:pPr>
        <w:ind w:firstLine="560"/>
        <w:rPr>
          <w:sz w:val="28"/>
          <w:szCs w:val="28"/>
        </w:rPr>
      </w:pPr>
      <w:r>
        <w:rPr>
          <w:sz w:val="28"/>
          <w:szCs w:val="28"/>
        </w:rPr>
        <w:t>1、安全平台模型</w:t>
      </w:r>
    </w:p>
    <w:p>
      <w:pPr>
        <w:ind w:firstLine="560"/>
        <w:rPr>
          <w:sz w:val="28"/>
          <w:szCs w:val="28"/>
        </w:rPr>
      </w:pPr>
      <w:r>
        <w:rPr>
          <w:sz w:val="28"/>
          <w:szCs w:val="28"/>
        </w:rPr>
        <w:t>对于实现平台的安全建设策略，主要可以通过管理，评估，检测和防止4点来概括。</w:t>
      </w:r>
    </w:p>
    <w:p>
      <w:pPr>
        <w:ind w:firstLine="560"/>
        <w:rPr>
          <w:sz w:val="28"/>
          <w:szCs w:val="28"/>
        </w:rPr>
      </w:pPr>
      <w:r>
        <w:rPr>
          <w:sz w:val="28"/>
          <w:szCs w:val="28"/>
        </w:rPr>
        <w:t>其中，安全制度管理包括了管理制度与管理手段，如审计措施等；</w:t>
      </w:r>
    </w:p>
    <w:p>
      <w:pPr>
        <w:ind w:firstLine="560"/>
        <w:rPr>
          <w:sz w:val="28"/>
          <w:szCs w:val="28"/>
        </w:rPr>
      </w:pPr>
      <w:r>
        <w:rPr>
          <w:sz w:val="28"/>
          <w:szCs w:val="28"/>
        </w:rPr>
        <w:t>安全技术管理是指包括设备管理、网络管理、系统管理（包括中间件）、应用管理和用户管理等在内的综合管理系统；</w:t>
      </w:r>
    </w:p>
    <w:p>
      <w:pPr>
        <w:ind w:firstLine="560"/>
        <w:rPr>
          <w:sz w:val="28"/>
          <w:szCs w:val="28"/>
        </w:rPr>
      </w:pPr>
      <w:r>
        <w:rPr>
          <w:sz w:val="28"/>
          <w:szCs w:val="28"/>
        </w:rPr>
        <w:t>安全措施分别从物理安全、网络安全、系统安全、应用安全四个层次上进行，每一安全措施根据不同的风险采取不同的应对措施。</w:t>
      </w:r>
    </w:p>
    <w:p>
      <w:pPr>
        <w:ind w:firstLine="560"/>
        <w:rPr>
          <w:sz w:val="28"/>
          <w:szCs w:val="28"/>
        </w:rPr>
      </w:pPr>
      <w:r>
        <w:rPr>
          <w:sz w:val="28"/>
          <w:szCs w:val="28"/>
        </w:rPr>
        <w:t>2、安全对策</w:t>
      </w:r>
    </w:p>
    <w:p>
      <w:pPr>
        <w:ind w:firstLine="560"/>
        <w:rPr>
          <w:sz w:val="28"/>
          <w:szCs w:val="28"/>
        </w:rPr>
      </w:pPr>
      <w:r>
        <w:rPr>
          <w:sz w:val="28"/>
          <w:szCs w:val="28"/>
        </w:rPr>
        <w:t>安全体系的建立应充分地分析信息系统的特点及潜在的风险，参照国际上先进安全体系理论以及现有的安全标准规范，尽量采用有自主知识产权和经权威部门认证的国内安全产品，构筑整体的安全保障环境。</w:t>
      </w:r>
    </w:p>
    <w:p>
      <w:pPr>
        <w:ind w:firstLine="560"/>
        <w:rPr>
          <w:sz w:val="28"/>
          <w:szCs w:val="28"/>
        </w:rPr>
      </w:pPr>
      <w:r>
        <w:rPr>
          <w:sz w:val="28"/>
          <w:szCs w:val="28"/>
        </w:rPr>
        <w:t>平台的网络及应用系统建成后，特点是网络规模大、结构清晰、应用系统丰富、安全性要求相对高。总体来说应从设施物理层安全、网络层安全、主机系统安全、应用系统安全、系统容灾、安全审计及安全管理制度等角度分析和建立安全防护体系。</w:t>
      </w:r>
    </w:p>
    <w:p>
      <w:pPr>
        <w:ind w:firstLine="560"/>
        <w:rPr>
          <w:sz w:val="28"/>
          <w:szCs w:val="28"/>
        </w:rPr>
      </w:pPr>
      <w:r>
        <w:rPr>
          <w:sz w:val="28"/>
          <w:szCs w:val="28"/>
        </w:rPr>
        <w:t>（1）物理层安全对策</w:t>
      </w:r>
    </w:p>
    <w:p>
      <w:pPr>
        <w:ind w:firstLine="560"/>
        <w:rPr>
          <w:sz w:val="28"/>
          <w:szCs w:val="28"/>
        </w:rPr>
      </w:pPr>
      <w:r>
        <w:rPr>
          <w:sz w:val="28"/>
          <w:szCs w:val="28"/>
        </w:rPr>
        <w:t>保证计算机信息系统各种设备的物理安全是整个计算机信息系统安全的前提。物理安全是保护计算机网络设备、设施以及其它媒体免遭地震、水灾、火灾、环境事故以及人为操作失误或错误及各种计算机犯罪行为导致的破坏过程。主要包括以下几方面：</w:t>
      </w:r>
    </w:p>
    <w:p>
      <w:pPr>
        <w:ind w:firstLine="560"/>
        <w:rPr>
          <w:sz w:val="28"/>
          <w:szCs w:val="28"/>
        </w:rPr>
      </w:pPr>
      <w:r>
        <w:rPr>
          <w:sz w:val="28"/>
          <w:szCs w:val="28"/>
        </w:rPr>
        <w:t>环境安全：对系统所在环境的安全保护，如区域保护和灾难保护；</w:t>
      </w:r>
    </w:p>
    <w:p>
      <w:pPr>
        <w:ind w:firstLine="560"/>
        <w:rPr>
          <w:sz w:val="28"/>
          <w:szCs w:val="28"/>
        </w:rPr>
      </w:pPr>
      <w:r>
        <w:rPr>
          <w:sz w:val="28"/>
          <w:szCs w:val="28"/>
        </w:rPr>
        <w:t>设备安全：包括设备的防盗、防毁、防电磁信息辐射泄漏、抗电磁干扰及电源保护等；</w:t>
      </w:r>
    </w:p>
    <w:p>
      <w:pPr>
        <w:ind w:firstLine="560"/>
        <w:rPr>
          <w:sz w:val="28"/>
          <w:szCs w:val="28"/>
        </w:rPr>
      </w:pPr>
      <w:r>
        <w:rPr>
          <w:sz w:val="28"/>
          <w:szCs w:val="28"/>
        </w:rPr>
        <w:t>介质安全：包括媒体数据的安全及媒体本身的安全。为保证网络的正常运行，在物理安全方面应采取如下措施：</w:t>
      </w:r>
    </w:p>
    <w:p>
      <w:pPr>
        <w:ind w:firstLine="560"/>
        <w:rPr>
          <w:sz w:val="28"/>
          <w:szCs w:val="28"/>
        </w:rPr>
      </w:pPr>
      <w:r>
        <w:rPr>
          <w:sz w:val="28"/>
          <w:szCs w:val="28"/>
        </w:rPr>
        <w:t>产品保障方面：指产品采购、运输、安装等方面的安全措施。</w:t>
      </w:r>
    </w:p>
    <w:p>
      <w:pPr>
        <w:ind w:firstLine="560"/>
        <w:rPr>
          <w:sz w:val="28"/>
          <w:szCs w:val="28"/>
        </w:rPr>
      </w:pPr>
      <w:r>
        <w:rPr>
          <w:sz w:val="28"/>
          <w:szCs w:val="28"/>
        </w:rPr>
        <w:t>运行安全方面：网络中的设备，特别是安全类产品在使用过程中，必须能够从生成厂家或供货单位得到迅速的技术支持服务；一些关键设备和系统，应设置备份系统。</w:t>
      </w:r>
    </w:p>
    <w:p>
      <w:pPr>
        <w:ind w:firstLine="560"/>
        <w:rPr>
          <w:sz w:val="28"/>
          <w:szCs w:val="28"/>
        </w:rPr>
      </w:pPr>
      <w:r>
        <w:rPr>
          <w:sz w:val="28"/>
          <w:szCs w:val="28"/>
        </w:rPr>
        <w:t>防电磁辐射方面：所有重要涉密的设备都需安装防电磁辐射产品。</w:t>
      </w:r>
    </w:p>
    <w:p>
      <w:pPr>
        <w:ind w:firstLine="560"/>
        <w:rPr>
          <w:sz w:val="28"/>
          <w:szCs w:val="28"/>
        </w:rPr>
      </w:pPr>
      <w:r>
        <w:rPr>
          <w:sz w:val="28"/>
          <w:szCs w:val="28"/>
        </w:rPr>
        <w:t>保安方面：针对防盗、防火、网络系统所有网络设备、计算机、安全设备的安全防护等方面。</w:t>
      </w:r>
    </w:p>
    <w:p>
      <w:pPr>
        <w:ind w:firstLine="560"/>
        <w:rPr>
          <w:sz w:val="28"/>
          <w:szCs w:val="28"/>
        </w:rPr>
      </w:pPr>
      <w:r>
        <w:rPr>
          <w:sz w:val="28"/>
          <w:szCs w:val="28"/>
        </w:rPr>
        <w:t>（2）网络层安全对策</w:t>
      </w:r>
    </w:p>
    <w:p>
      <w:pPr>
        <w:ind w:firstLine="560"/>
        <w:rPr>
          <w:sz w:val="28"/>
          <w:szCs w:val="28"/>
        </w:rPr>
      </w:pPr>
      <w:r>
        <w:rPr>
          <w:sz w:val="28"/>
          <w:szCs w:val="28"/>
        </w:rPr>
        <w:t>基于专网互连互通的特点，从网络层次考虑，设计将网络系统设计成一个支持不同级别用户或用户群的安全网络，该网在保证系统内部网络安全的同时，还实现与互联网的安全互连。具体而言，采用下面的安全措施实现网络系统的安全。</w:t>
      </w:r>
    </w:p>
    <w:p>
      <w:pPr>
        <w:ind w:firstLine="560"/>
        <w:rPr>
          <w:sz w:val="28"/>
          <w:szCs w:val="28"/>
        </w:rPr>
      </w:pPr>
      <w:r>
        <w:rPr>
          <w:sz w:val="28"/>
          <w:szCs w:val="28"/>
        </w:rPr>
        <w:t>内网与互联网门户之间信息传输的安全，可通过安全设备（网闸）实现环保专网与互联网之间的安全隔离。</w:t>
      </w:r>
    </w:p>
    <w:p>
      <w:pPr>
        <w:ind w:firstLine="560"/>
        <w:rPr>
          <w:sz w:val="28"/>
          <w:szCs w:val="28"/>
        </w:rPr>
      </w:pPr>
      <w:r>
        <w:rPr>
          <w:sz w:val="28"/>
          <w:szCs w:val="28"/>
        </w:rPr>
        <w:t>（3）系统层安全对策</w:t>
      </w:r>
    </w:p>
    <w:p>
      <w:pPr>
        <w:numPr>
          <w:ilvl w:val="0"/>
          <w:numId w:val="35"/>
        </w:numPr>
        <w:spacing w:line="360" w:lineRule="auto"/>
        <w:ind w:left="0" w:firstLine="560"/>
        <w:rPr>
          <w:sz w:val="28"/>
          <w:szCs w:val="28"/>
        </w:rPr>
      </w:pPr>
      <w:r>
        <w:rPr>
          <w:sz w:val="28"/>
          <w:szCs w:val="28"/>
        </w:rPr>
        <w:t>操作系统安全</w:t>
      </w:r>
    </w:p>
    <w:p>
      <w:pPr>
        <w:ind w:firstLine="560"/>
        <w:rPr>
          <w:sz w:val="28"/>
          <w:szCs w:val="28"/>
        </w:rPr>
      </w:pPr>
      <w:r>
        <w:rPr>
          <w:sz w:val="28"/>
          <w:szCs w:val="28"/>
        </w:rPr>
        <w:t>操作系统是应用软件和服务运行的公共平台，操作系统安全漏洞是网络入侵的重要因素。因此，首先必须选择安全的操作系统平台。</w:t>
      </w:r>
    </w:p>
    <w:p>
      <w:pPr>
        <w:ind w:firstLine="560"/>
        <w:rPr>
          <w:sz w:val="28"/>
          <w:szCs w:val="28"/>
        </w:rPr>
      </w:pPr>
      <w:r>
        <w:rPr>
          <w:sz w:val="28"/>
          <w:szCs w:val="28"/>
        </w:rPr>
        <w:t>对于重要的服务器系统，应该选择安全级别更高的操作系统，或者通过改造操作系统达到B1级以上，即实现强制型访问控制功能；具备强制用户人证机制（比如一次性口令或基于公钥的证书认证），不在网络中明码传输口令或密钥。</w:t>
      </w:r>
    </w:p>
    <w:p>
      <w:pPr>
        <w:ind w:firstLine="560"/>
        <w:rPr>
          <w:sz w:val="28"/>
          <w:szCs w:val="28"/>
        </w:rPr>
      </w:pPr>
      <w:r>
        <w:rPr>
          <w:sz w:val="28"/>
          <w:szCs w:val="28"/>
        </w:rPr>
        <w:t>特别值得注意的是，操作系统设计上的安全级别并不能保证系统在实现和配置上的没有安全漏洞，因此，操作系统的安全必须和下文中介绍的系统安全管理手段相结合。</w:t>
      </w:r>
    </w:p>
    <w:p>
      <w:pPr>
        <w:ind w:firstLine="560"/>
        <w:rPr>
          <w:sz w:val="28"/>
          <w:szCs w:val="28"/>
        </w:rPr>
      </w:pPr>
      <w:r>
        <w:rPr>
          <w:sz w:val="28"/>
          <w:szCs w:val="28"/>
        </w:rPr>
        <w:t>另外还需说明的是，除了系统管理员以外，绝大多数用户是通过运行在服务器操作系统之上的应用系统来访问信息的，因此，操作系统安全设计的目标在于防止黑客入侵系统和非授权的访问，业务信息的保密应该主要有应用系统完成。</w:t>
      </w:r>
    </w:p>
    <w:p>
      <w:pPr>
        <w:numPr>
          <w:ilvl w:val="0"/>
          <w:numId w:val="35"/>
        </w:numPr>
        <w:spacing w:line="360" w:lineRule="auto"/>
        <w:ind w:left="0" w:firstLine="560"/>
        <w:rPr>
          <w:sz w:val="28"/>
          <w:szCs w:val="28"/>
        </w:rPr>
      </w:pPr>
      <w:r>
        <w:rPr>
          <w:sz w:val="28"/>
          <w:szCs w:val="28"/>
        </w:rPr>
        <w:t>应用软件和数据库系统安全</w:t>
      </w:r>
    </w:p>
    <w:p>
      <w:pPr>
        <w:ind w:firstLine="560"/>
        <w:rPr>
          <w:sz w:val="28"/>
          <w:szCs w:val="28"/>
        </w:rPr>
      </w:pPr>
      <w:r>
        <w:rPr>
          <w:sz w:val="28"/>
          <w:szCs w:val="28"/>
        </w:rPr>
        <w:t>软件的使用需要经过有关部门的认证，从网络下载的免费软件不经过检查与批准一律不许使用。</w:t>
      </w:r>
    </w:p>
    <w:p>
      <w:pPr>
        <w:ind w:firstLine="560"/>
        <w:rPr>
          <w:sz w:val="28"/>
          <w:szCs w:val="28"/>
        </w:rPr>
      </w:pPr>
      <w:r>
        <w:rPr>
          <w:sz w:val="28"/>
          <w:szCs w:val="28"/>
        </w:rPr>
        <w:t>数据库系统必须具备用户认证、基于角色或用户组、数据视图的访问控制功能，防止入侵者越过应用系统的控制直接访问数据库。</w:t>
      </w:r>
    </w:p>
    <w:p>
      <w:pPr>
        <w:ind w:firstLine="560"/>
        <w:rPr>
          <w:sz w:val="28"/>
          <w:szCs w:val="28"/>
        </w:rPr>
      </w:pPr>
      <w:r>
        <w:rPr>
          <w:sz w:val="28"/>
          <w:szCs w:val="28"/>
        </w:rPr>
        <w:t>为了防止万一操作系统或应用系统被攻破，使得入侵者能够直接访问数据库，对于机密字段，可以考虑在数据存储/读取时加密/解密。但是由于对性能和管理的影响，数据库字段的加密一定要慎重考虑。</w:t>
      </w:r>
    </w:p>
    <w:p>
      <w:pPr>
        <w:numPr>
          <w:ilvl w:val="0"/>
          <w:numId w:val="35"/>
        </w:numPr>
        <w:spacing w:line="360" w:lineRule="auto"/>
        <w:ind w:left="0" w:firstLine="560"/>
        <w:rPr>
          <w:sz w:val="28"/>
          <w:szCs w:val="28"/>
        </w:rPr>
      </w:pPr>
      <w:r>
        <w:rPr>
          <w:sz w:val="28"/>
          <w:szCs w:val="28"/>
        </w:rPr>
        <w:t>系统安全管理和系统病毒防范</w:t>
      </w:r>
    </w:p>
    <w:p>
      <w:pPr>
        <w:ind w:firstLine="560"/>
        <w:rPr>
          <w:sz w:val="28"/>
          <w:szCs w:val="28"/>
        </w:rPr>
      </w:pPr>
      <w:r>
        <w:rPr>
          <w:sz w:val="28"/>
          <w:szCs w:val="28"/>
        </w:rPr>
        <w:t>计算机系统设计上的安全不能防止系统实现或配置中存在的漏洞。事实上，系统的漏洞多数发生在系统的实现和配置阶段。系统的安全管理主要活动包括：</w:t>
      </w:r>
    </w:p>
    <w:p>
      <w:pPr>
        <w:ind w:firstLine="560"/>
        <w:rPr>
          <w:sz w:val="28"/>
          <w:szCs w:val="28"/>
        </w:rPr>
      </w:pPr>
      <w:r>
        <w:rPr>
          <w:sz w:val="28"/>
          <w:szCs w:val="28"/>
        </w:rPr>
        <w:t>系统脆弱性检测与打补丁，定期扫描系统的安全漏洞，及时联系操作系统厂商和国内外安全事件协调中心，弥补操作系统设计上的安全漏洞。</w:t>
      </w:r>
    </w:p>
    <w:p>
      <w:pPr>
        <w:ind w:firstLine="560"/>
        <w:rPr>
          <w:sz w:val="28"/>
          <w:szCs w:val="28"/>
        </w:rPr>
      </w:pPr>
      <w:r>
        <w:rPr>
          <w:sz w:val="28"/>
          <w:szCs w:val="28"/>
        </w:rPr>
        <w:t>用户管理，包括口令调协、用户环境、授权管理等。</w:t>
      </w:r>
    </w:p>
    <w:p>
      <w:pPr>
        <w:ind w:firstLine="560"/>
        <w:rPr>
          <w:sz w:val="28"/>
          <w:szCs w:val="28"/>
        </w:rPr>
      </w:pPr>
      <w:r>
        <w:rPr>
          <w:sz w:val="28"/>
          <w:szCs w:val="28"/>
        </w:rPr>
        <w:t>系统服务管理和环境设置管理。</w:t>
      </w:r>
    </w:p>
    <w:p>
      <w:pPr>
        <w:ind w:firstLine="560"/>
        <w:rPr>
          <w:sz w:val="28"/>
          <w:szCs w:val="28"/>
        </w:rPr>
      </w:pPr>
      <w:r>
        <w:rPr>
          <w:sz w:val="28"/>
          <w:szCs w:val="28"/>
        </w:rPr>
        <w:t>主机系统定期检查系统的审计记录，分析可能的入侵或入侵企图。在现可疑的异常的系统状态或可疑的用户行为时，立即向管理员告警。</w:t>
      </w:r>
    </w:p>
    <w:p>
      <w:pPr>
        <w:ind w:firstLine="560"/>
        <w:rPr>
          <w:sz w:val="28"/>
          <w:szCs w:val="28"/>
        </w:rPr>
      </w:pPr>
      <w:r>
        <w:rPr>
          <w:sz w:val="28"/>
          <w:szCs w:val="28"/>
        </w:rPr>
        <w:t>病毒防范是系统安全管理的一项重要内容。实时地监测、定期的扫描与杀除病毒；通过厂商及时更新病毒特征码库，跟踪最新病毒。</w:t>
      </w:r>
    </w:p>
    <w:p>
      <w:pPr>
        <w:numPr>
          <w:ilvl w:val="0"/>
          <w:numId w:val="35"/>
        </w:numPr>
        <w:spacing w:line="360" w:lineRule="auto"/>
        <w:ind w:left="0" w:firstLine="560"/>
        <w:rPr>
          <w:sz w:val="28"/>
          <w:szCs w:val="28"/>
        </w:rPr>
      </w:pPr>
      <w:r>
        <w:rPr>
          <w:sz w:val="28"/>
          <w:szCs w:val="28"/>
        </w:rPr>
        <w:t>应用系统安全对策</w:t>
      </w:r>
    </w:p>
    <w:p>
      <w:pPr>
        <w:ind w:firstLine="560"/>
        <w:rPr>
          <w:sz w:val="28"/>
          <w:szCs w:val="28"/>
        </w:rPr>
      </w:pPr>
      <w:r>
        <w:rPr>
          <w:sz w:val="28"/>
          <w:szCs w:val="28"/>
        </w:rPr>
        <w:t>应用系统面临的主要安全威胁是因非授权的数据访问而造成的信息泄密和内部人员滥用权力、有意犯罪。应用系统安全设计的主要目标是保证信息的保密性与完整性，主要依赖认证、加密、访问控制、数字签名等安全服务来完成。</w:t>
      </w:r>
    </w:p>
    <w:p>
      <w:pPr>
        <w:ind w:firstLine="560"/>
        <w:rPr>
          <w:sz w:val="28"/>
          <w:szCs w:val="28"/>
        </w:rPr>
      </w:pPr>
      <w:r>
        <w:rPr>
          <w:sz w:val="28"/>
          <w:szCs w:val="28"/>
        </w:rPr>
        <w:t>应用系统主要做如下安全设置：本地认证，登录双向身份认证（包括数字证书验证，私钥签名验证），权限控制，数据的数字签名与认证等。</w:t>
      </w:r>
    </w:p>
    <w:p>
      <w:pPr>
        <w:ind w:firstLine="560"/>
        <w:rPr>
          <w:sz w:val="28"/>
          <w:szCs w:val="28"/>
        </w:rPr>
      </w:pPr>
      <w:r>
        <w:rPr>
          <w:sz w:val="28"/>
          <w:szCs w:val="28"/>
        </w:rPr>
        <w:t>（4）系统容灾对策</w:t>
      </w:r>
    </w:p>
    <w:p>
      <w:pPr>
        <w:ind w:firstLine="560"/>
        <w:rPr>
          <w:sz w:val="28"/>
          <w:szCs w:val="28"/>
        </w:rPr>
      </w:pPr>
      <w:r>
        <w:rPr>
          <w:sz w:val="28"/>
          <w:szCs w:val="28"/>
        </w:rPr>
        <w:t>对于一个大型计算机网络和分布式应用系统，精确计算分配系统可靠性指标十分复杂，涉及到端系统、互联设备、物理线路等各个层次的各种实体，一般需要考虑平均无故障时间(MTBF)、平均故障时间(MTTF)、平均故障修复时间(MTTR)，和可用性(Availability)四项指标。采用最终用户可用性指标来衡量整个系统的可靠性，是一种简便易行，便于工程测量的方法。</w:t>
      </w:r>
    </w:p>
    <w:p>
      <w:pPr>
        <w:ind w:firstLine="560"/>
        <w:rPr>
          <w:sz w:val="28"/>
          <w:szCs w:val="28"/>
        </w:rPr>
      </w:pPr>
      <w:r>
        <w:rPr>
          <w:sz w:val="28"/>
          <w:szCs w:val="28"/>
        </w:rPr>
        <w:t>为了保证系统的安全可靠，除了场地、环境安全应遵循的有关标准外，建议采取以下容错容灾措施：</w:t>
      </w:r>
    </w:p>
    <w:p>
      <w:pPr>
        <w:numPr>
          <w:ilvl w:val="0"/>
          <w:numId w:val="35"/>
        </w:numPr>
        <w:spacing w:line="360" w:lineRule="auto"/>
        <w:ind w:left="0" w:firstLine="560"/>
        <w:rPr>
          <w:sz w:val="28"/>
          <w:szCs w:val="28"/>
        </w:rPr>
      </w:pPr>
      <w:r>
        <w:rPr>
          <w:sz w:val="28"/>
          <w:szCs w:val="28"/>
        </w:rPr>
        <w:t>选用高可靠性的计算机系统和网络设备，重要的服务器系统和网络中心的关键设备都实现了硬件或配件冗余，具备容错功能。</w:t>
      </w:r>
    </w:p>
    <w:p>
      <w:pPr>
        <w:numPr>
          <w:ilvl w:val="0"/>
          <w:numId w:val="35"/>
        </w:numPr>
        <w:spacing w:line="360" w:lineRule="auto"/>
        <w:ind w:left="0" w:firstLine="560"/>
        <w:rPr>
          <w:sz w:val="28"/>
          <w:szCs w:val="28"/>
        </w:rPr>
      </w:pPr>
      <w:r>
        <w:rPr>
          <w:sz w:val="28"/>
          <w:szCs w:val="28"/>
        </w:rPr>
        <w:t>数据备份，可对系统和重要数据定期或实时备份。</w:t>
      </w:r>
    </w:p>
    <w:p>
      <w:pPr>
        <w:ind w:firstLine="560"/>
        <w:rPr>
          <w:sz w:val="28"/>
          <w:szCs w:val="28"/>
        </w:rPr>
      </w:pPr>
      <w:r>
        <w:rPr>
          <w:sz w:val="28"/>
          <w:szCs w:val="28"/>
        </w:rPr>
        <w:t>（5）安全审计对策</w:t>
      </w:r>
    </w:p>
    <w:p>
      <w:pPr>
        <w:ind w:firstLine="560"/>
        <w:rPr>
          <w:sz w:val="28"/>
          <w:szCs w:val="28"/>
        </w:rPr>
      </w:pPr>
      <w:r>
        <w:rPr>
          <w:sz w:val="28"/>
          <w:szCs w:val="28"/>
        </w:rPr>
        <w:t>安全审计是一个安全的网络必须支持的功能特性，审计是记录用户使用计算机网络系统进行所有活动的过程，它是提高安全性的重要工具。它不仅能够识别谁访问了系统，还能指出系统正被怎样地使用。对于确定是否有网络攻击的情况，审计信息对于确定问题和攻击源很重要。同时，系统事件的记录能够更迅速和系统地识别问题，并且它是后面阶段事故处理的重要依据，为网络犯罪行为及泄密行为提供取证基础。另外，通过对安全事件的不断收集与积累并且加以分析，有选择性地对其中的某些站点或用户进行审计跟踪，以便对发现或可能产生的破坏性行为提供有力的证据。</w:t>
      </w:r>
    </w:p>
    <w:p>
      <w:pPr>
        <w:ind w:firstLine="560"/>
        <w:rPr>
          <w:sz w:val="28"/>
          <w:szCs w:val="28"/>
        </w:rPr>
      </w:pPr>
      <w:r>
        <w:rPr>
          <w:sz w:val="28"/>
          <w:szCs w:val="28"/>
        </w:rPr>
        <w:t>一个功能较完备的安全审计系统具体而言，应由三个层次组成，分别是：</w:t>
      </w:r>
    </w:p>
    <w:p>
      <w:pPr>
        <w:numPr>
          <w:ilvl w:val="0"/>
          <w:numId w:val="35"/>
        </w:numPr>
        <w:spacing w:line="360" w:lineRule="auto"/>
        <w:ind w:left="0" w:firstLine="560"/>
        <w:rPr>
          <w:sz w:val="28"/>
          <w:szCs w:val="28"/>
        </w:rPr>
      </w:pPr>
      <w:r>
        <w:rPr>
          <w:sz w:val="28"/>
          <w:szCs w:val="28"/>
        </w:rPr>
        <w:t>网络层层次的安全审计：主要利用防火墙的审计功能、网络监控与入侵检测系统来实现。</w:t>
      </w:r>
    </w:p>
    <w:p>
      <w:pPr>
        <w:numPr>
          <w:ilvl w:val="0"/>
          <w:numId w:val="35"/>
        </w:numPr>
        <w:spacing w:line="360" w:lineRule="auto"/>
        <w:ind w:left="0" w:firstLine="560"/>
        <w:rPr>
          <w:sz w:val="28"/>
          <w:szCs w:val="28"/>
        </w:rPr>
      </w:pPr>
      <w:r>
        <w:rPr>
          <w:sz w:val="28"/>
          <w:szCs w:val="28"/>
        </w:rPr>
        <w:t>系统的安全审计：主要是利用各种操作系统和应用软件系统的审计功能实现。包括，用户访问时间、操作记录、系统运行信息、资源占用等。</w:t>
      </w:r>
    </w:p>
    <w:p>
      <w:pPr>
        <w:numPr>
          <w:ilvl w:val="0"/>
          <w:numId w:val="35"/>
        </w:numPr>
        <w:spacing w:line="360" w:lineRule="auto"/>
        <w:ind w:left="0" w:firstLine="560"/>
        <w:rPr>
          <w:sz w:val="28"/>
          <w:szCs w:val="28"/>
        </w:rPr>
      </w:pPr>
      <w:r>
        <w:rPr>
          <w:sz w:val="28"/>
          <w:szCs w:val="28"/>
        </w:rPr>
        <w:t>对信息内容的安全审计。</w:t>
      </w:r>
    </w:p>
    <w:p>
      <w:pPr>
        <w:ind w:firstLine="560"/>
        <w:rPr>
          <w:sz w:val="28"/>
          <w:szCs w:val="28"/>
        </w:rPr>
      </w:pPr>
      <w:r>
        <w:rPr>
          <w:sz w:val="28"/>
          <w:szCs w:val="28"/>
        </w:rPr>
        <w:t>采用各层次的安全审计措施是网络安全系统的重要组成部分，而对审计数据的维护是其重要内容之一。建议网络系统建立安全审计中心或审计小组，对所有各层次的审计数据进行统一处理与管理。</w:t>
      </w:r>
    </w:p>
    <w:p>
      <w:pPr>
        <w:ind w:firstLine="560"/>
        <w:rPr>
          <w:sz w:val="28"/>
          <w:szCs w:val="28"/>
        </w:rPr>
      </w:pPr>
      <w:r>
        <w:rPr>
          <w:sz w:val="28"/>
          <w:szCs w:val="28"/>
        </w:rPr>
        <w:t>（6）安全管理对策</w:t>
      </w:r>
    </w:p>
    <w:p>
      <w:pPr>
        <w:ind w:firstLine="560"/>
        <w:rPr>
          <w:sz w:val="28"/>
          <w:szCs w:val="28"/>
        </w:rPr>
      </w:pPr>
      <w:r>
        <w:rPr>
          <w:sz w:val="28"/>
          <w:szCs w:val="28"/>
        </w:rPr>
        <w:t>管理性和技术性的安全措施是相辅相成的，在对技术性措施进行设计的同时，必须考虑安全管理措施。因为诸多的不安全因素恰恰反映在组织管理和人员使用方面，而这又是计算机网络安全所必须考虑的基本问题，所以应引起各计算机网络应用部门领导的重视。</w:t>
      </w:r>
    </w:p>
    <w:p>
      <w:pPr>
        <w:ind w:firstLine="560"/>
        <w:rPr>
          <w:sz w:val="28"/>
          <w:szCs w:val="28"/>
        </w:rPr>
      </w:pPr>
      <w:r>
        <w:rPr>
          <w:sz w:val="28"/>
          <w:szCs w:val="28"/>
        </w:rPr>
        <w:t>随着安全工程的规划与实施，必须建立健全一套自上而下的安全组织机构、管理有关的规章制度与系统安全工程层次结构相对应，安全组织结构也采用分层结构。建议指定专门机构和人员，负责全网所有日常安全管理活动，主要职责有：</w:t>
      </w:r>
    </w:p>
    <w:p>
      <w:pPr>
        <w:numPr>
          <w:ilvl w:val="0"/>
          <w:numId w:val="35"/>
        </w:numPr>
        <w:spacing w:line="360" w:lineRule="auto"/>
        <w:ind w:left="0" w:firstLine="560"/>
        <w:rPr>
          <w:sz w:val="28"/>
          <w:szCs w:val="28"/>
        </w:rPr>
      </w:pPr>
      <w:r>
        <w:rPr>
          <w:sz w:val="28"/>
          <w:szCs w:val="28"/>
        </w:rPr>
        <w:t>监视系统运行和安全告警信息</w:t>
      </w:r>
    </w:p>
    <w:p>
      <w:pPr>
        <w:numPr>
          <w:ilvl w:val="0"/>
          <w:numId w:val="35"/>
        </w:numPr>
        <w:spacing w:line="360" w:lineRule="auto"/>
        <w:ind w:left="0" w:firstLine="560"/>
        <w:rPr>
          <w:sz w:val="28"/>
          <w:szCs w:val="28"/>
        </w:rPr>
      </w:pPr>
      <w:r>
        <w:rPr>
          <w:sz w:val="28"/>
          <w:szCs w:val="28"/>
        </w:rPr>
        <w:t>系统各个层次审计与日志信息的常规分析</w:t>
      </w:r>
    </w:p>
    <w:p>
      <w:pPr>
        <w:numPr>
          <w:ilvl w:val="0"/>
          <w:numId w:val="35"/>
        </w:numPr>
        <w:spacing w:line="360" w:lineRule="auto"/>
        <w:ind w:left="0" w:firstLine="560"/>
        <w:rPr>
          <w:sz w:val="28"/>
          <w:szCs w:val="28"/>
        </w:rPr>
      </w:pPr>
      <w:r>
        <w:rPr>
          <w:sz w:val="28"/>
          <w:szCs w:val="28"/>
        </w:rPr>
        <w:t>安全设备的常规设置与维护</w:t>
      </w:r>
    </w:p>
    <w:p>
      <w:pPr>
        <w:numPr>
          <w:ilvl w:val="0"/>
          <w:numId w:val="35"/>
        </w:numPr>
        <w:spacing w:line="360" w:lineRule="auto"/>
        <w:ind w:left="0" w:firstLine="560"/>
        <w:rPr>
          <w:sz w:val="28"/>
          <w:szCs w:val="28"/>
        </w:rPr>
      </w:pPr>
      <w:r>
        <w:rPr>
          <w:sz w:val="28"/>
          <w:szCs w:val="28"/>
        </w:rPr>
        <w:t>安全策略的规划、制定与实施</w:t>
      </w:r>
    </w:p>
    <w:p>
      <w:pPr>
        <w:numPr>
          <w:ilvl w:val="0"/>
          <w:numId w:val="35"/>
        </w:numPr>
        <w:spacing w:line="360" w:lineRule="auto"/>
        <w:ind w:left="0" w:firstLine="560"/>
        <w:rPr>
          <w:sz w:val="28"/>
          <w:szCs w:val="28"/>
        </w:rPr>
      </w:pPr>
      <w:r>
        <w:rPr>
          <w:sz w:val="28"/>
          <w:szCs w:val="28"/>
        </w:rPr>
        <w:t>安全事件的处理等</w:t>
      </w:r>
    </w:p>
    <w:p>
      <w:pPr>
        <w:pStyle w:val="5"/>
      </w:pPr>
      <w:r>
        <w:t>应用安全设计</w:t>
      </w:r>
    </w:p>
    <w:p>
      <w:pPr>
        <w:spacing w:line="560" w:lineRule="exact"/>
        <w:ind w:firstLine="560"/>
        <w:rPr>
          <w:rFonts w:hint="eastAsia"/>
          <w:sz w:val="28"/>
          <w:szCs w:val="28"/>
        </w:rPr>
      </w:pPr>
      <w:r>
        <w:rPr>
          <w:sz w:val="28"/>
          <w:szCs w:val="28"/>
        </w:rPr>
        <w:t>软件安全主要依托于政务云平台提供的相关操作系统、数据库软件、日志管理、WEB应用防护</w:t>
      </w:r>
      <w:r>
        <w:rPr>
          <w:rFonts w:hint="eastAsia"/>
          <w:sz w:val="28"/>
          <w:szCs w:val="28"/>
        </w:rPr>
        <w:t>等，对身份鉴别、访问控制、安全审计等方面提出如下要求。</w:t>
      </w:r>
    </w:p>
    <w:p>
      <w:pPr>
        <w:pStyle w:val="6"/>
        <w:spacing w:before="156" w:beforeLines="50" w:after="156" w:afterLines="50" w:line="360" w:lineRule="auto"/>
      </w:pPr>
      <w:bookmarkStart w:id="125" w:name="_Toc283743650"/>
      <w:r>
        <w:t>身份鉴别</w:t>
      </w:r>
      <w:bookmarkEnd w:id="125"/>
    </w:p>
    <w:p>
      <w:pPr>
        <w:ind w:firstLine="560"/>
        <w:rPr>
          <w:sz w:val="28"/>
          <w:szCs w:val="28"/>
        </w:rPr>
      </w:pPr>
      <w:r>
        <w:rPr>
          <w:sz w:val="28"/>
          <w:szCs w:val="28"/>
        </w:rPr>
        <w:t>（1）基本要求</w:t>
      </w:r>
    </w:p>
    <w:p>
      <w:pPr>
        <w:ind w:firstLine="560"/>
        <w:rPr>
          <w:sz w:val="28"/>
          <w:szCs w:val="28"/>
        </w:rPr>
      </w:pPr>
      <w:r>
        <w:rPr>
          <w:sz w:val="28"/>
          <w:szCs w:val="28"/>
        </w:rPr>
        <w:t>应提供专用的登录控制模块对登录用户进行身份标识和鉴别；</w:t>
      </w:r>
    </w:p>
    <w:p>
      <w:pPr>
        <w:ind w:firstLine="560"/>
        <w:rPr>
          <w:sz w:val="28"/>
          <w:szCs w:val="28"/>
        </w:rPr>
      </w:pPr>
      <w:r>
        <w:rPr>
          <w:sz w:val="28"/>
          <w:szCs w:val="28"/>
        </w:rPr>
        <w:t xml:space="preserve">应提供登录失败处理功能，可采取结束会话、限制非法登录次数和自动退出等措施； </w:t>
      </w:r>
    </w:p>
    <w:p>
      <w:pPr>
        <w:ind w:firstLine="560"/>
        <w:rPr>
          <w:sz w:val="28"/>
          <w:szCs w:val="28"/>
        </w:rPr>
      </w:pPr>
      <w:r>
        <w:rPr>
          <w:sz w:val="28"/>
          <w:szCs w:val="28"/>
        </w:rPr>
        <w:t>应启用身份鉴别、用户身份标识唯一性检查、用户身份鉴别信息复杂度检查以及登录失败处理功能，并根据安全策略配置相关参数；</w:t>
      </w:r>
    </w:p>
    <w:p>
      <w:pPr>
        <w:ind w:firstLine="560"/>
        <w:rPr>
          <w:sz w:val="28"/>
          <w:szCs w:val="28"/>
        </w:rPr>
      </w:pPr>
      <w:r>
        <w:rPr>
          <w:sz w:val="28"/>
          <w:szCs w:val="28"/>
        </w:rPr>
        <w:t xml:space="preserve">应提供用户身份标识唯一和鉴别信息复杂度检查功能，保证应用系统中不存在重复用户身份标识，身份鉴别信息不易被冒用； </w:t>
      </w:r>
    </w:p>
    <w:p>
      <w:pPr>
        <w:ind w:firstLine="560"/>
        <w:rPr>
          <w:sz w:val="28"/>
          <w:szCs w:val="28"/>
        </w:rPr>
      </w:pPr>
      <w:r>
        <w:rPr>
          <w:sz w:val="28"/>
          <w:szCs w:val="28"/>
        </w:rPr>
        <w:t>应对同一用户采用两种或两种以上组合的鉴别技术实现用户身份鉴别。</w:t>
      </w:r>
    </w:p>
    <w:p>
      <w:pPr>
        <w:ind w:firstLine="560"/>
        <w:rPr>
          <w:sz w:val="28"/>
          <w:szCs w:val="28"/>
        </w:rPr>
      </w:pPr>
      <w:r>
        <w:rPr>
          <w:sz w:val="28"/>
          <w:szCs w:val="28"/>
        </w:rPr>
        <w:t>（2）实现方式</w:t>
      </w:r>
    </w:p>
    <w:p>
      <w:pPr>
        <w:ind w:firstLine="560"/>
        <w:rPr>
          <w:sz w:val="28"/>
          <w:szCs w:val="28"/>
        </w:rPr>
      </w:pPr>
      <w:r>
        <w:rPr>
          <w:sz w:val="28"/>
          <w:szCs w:val="28"/>
        </w:rPr>
        <w:t>集成身份认证系统，保证用户的合法性。系统内的每个角色有可靠的身份识别，访问权限控制，防止对信息的非法使用、调阅、修改和破坏。</w:t>
      </w:r>
    </w:p>
    <w:p>
      <w:pPr>
        <w:ind w:firstLine="560"/>
        <w:rPr>
          <w:sz w:val="28"/>
          <w:szCs w:val="28"/>
        </w:rPr>
      </w:pPr>
      <w:r>
        <w:rPr>
          <w:sz w:val="28"/>
          <w:szCs w:val="28"/>
        </w:rPr>
        <w:t>信息在存储和传送过程中采取加密保护。</w:t>
      </w:r>
    </w:p>
    <w:p>
      <w:pPr>
        <w:ind w:firstLine="560"/>
        <w:rPr>
          <w:sz w:val="28"/>
          <w:szCs w:val="28"/>
        </w:rPr>
      </w:pPr>
      <w:r>
        <w:rPr>
          <w:sz w:val="28"/>
          <w:szCs w:val="28"/>
        </w:rPr>
        <w:t>具有防非法修改和防静态分析等自身防护功能。</w:t>
      </w:r>
    </w:p>
    <w:p>
      <w:pPr>
        <w:ind w:firstLine="560"/>
        <w:rPr>
          <w:sz w:val="28"/>
          <w:szCs w:val="28"/>
        </w:rPr>
      </w:pPr>
      <w:r>
        <w:rPr>
          <w:sz w:val="28"/>
          <w:szCs w:val="28"/>
        </w:rPr>
        <w:t>采取应用系统运行日志、应用系统操作日志、系统运行监控和故障报警等手段，加强对系统运行进行监控</w:t>
      </w:r>
    </w:p>
    <w:p>
      <w:pPr>
        <w:ind w:firstLine="560"/>
        <w:rPr>
          <w:sz w:val="28"/>
          <w:szCs w:val="28"/>
        </w:rPr>
      </w:pPr>
      <w:r>
        <w:rPr>
          <w:sz w:val="28"/>
          <w:szCs w:val="28"/>
        </w:rPr>
        <w:t>提供专用的登录控制模块对登录用户进行身份标识和鉴别。包括登录认证、长时间未操作提示、错误登录提示等。利用SESSION技术实现当其空闲操作的时间超过规定值(通常为l0min以内)后，在该用户需要执行其它操作之前，对该用户重新进行身份鉴别，要求重新登录。系统提醒SESSION（空闲操作的时间超过规定值）时间，并自动限制用户设置时间在l0min以内。</w:t>
      </w:r>
    </w:p>
    <w:p>
      <w:pPr>
        <w:ind w:firstLine="560"/>
        <w:rPr>
          <w:sz w:val="28"/>
          <w:szCs w:val="28"/>
        </w:rPr>
      </w:pPr>
      <w:r>
        <w:rPr>
          <w:sz w:val="28"/>
          <w:szCs w:val="28"/>
        </w:rPr>
        <w:t>提供登录失败处理功能，可采取结束会话、限制非法登录次数和自动退出等措施。系统提供设置“允许用户失败登录次数”功能，，并自动控制用户设置次数小于等于五次。并提供设置：“用户失败登录次数达到设定值时，选择操作选项，包括：1）禁止使用该程序（登录）；2）延长一定时间后再允许登录，并可以设置延长的具体时间”。</w:t>
      </w:r>
    </w:p>
    <w:p>
      <w:pPr>
        <w:ind w:firstLine="560"/>
        <w:rPr>
          <w:sz w:val="28"/>
          <w:szCs w:val="28"/>
        </w:rPr>
      </w:pPr>
      <w:r>
        <w:rPr>
          <w:sz w:val="28"/>
          <w:szCs w:val="28"/>
        </w:rPr>
        <w:t>提供用户身份标识唯一和鉴别信息复杂度检查功能，保证应用系统中不存在重复用户身份标识，身份鉴别信息不易被冒用。管理员设置标识符规则（标识符规则可由用户确定，包括长度、组成等），系统自动生成标准符，标识符一经生成就不能修改和删除，管理员每次设置的标识符规则不同相同，以确保标识符的唯一性。同时，系统不提供标识符真正从系统中物理删除，只是提醒将该标识符标记为删除状态。非认证用户无法设置标识符规则和生成标识符。</w:t>
      </w:r>
    </w:p>
    <w:p>
      <w:pPr>
        <w:pStyle w:val="6"/>
        <w:spacing w:before="156" w:beforeLines="50" w:after="156" w:afterLines="50" w:line="360" w:lineRule="auto"/>
      </w:pPr>
      <w:bookmarkStart w:id="126" w:name="_Toc283743651"/>
      <w:r>
        <w:t>访问控制</w:t>
      </w:r>
      <w:bookmarkEnd w:id="126"/>
    </w:p>
    <w:p>
      <w:pPr>
        <w:ind w:firstLine="560"/>
        <w:rPr>
          <w:sz w:val="28"/>
          <w:szCs w:val="28"/>
        </w:rPr>
      </w:pPr>
      <w:r>
        <w:rPr>
          <w:sz w:val="28"/>
          <w:szCs w:val="28"/>
        </w:rPr>
        <w:t>（1）基本要求</w:t>
      </w:r>
    </w:p>
    <w:p>
      <w:pPr>
        <w:ind w:firstLine="560"/>
        <w:rPr>
          <w:sz w:val="28"/>
          <w:szCs w:val="28"/>
        </w:rPr>
      </w:pPr>
      <w:r>
        <w:rPr>
          <w:sz w:val="28"/>
          <w:szCs w:val="28"/>
        </w:rPr>
        <w:t>应提供访问控制功能控制用户组/用户对系统功能和用户数据的访问；</w:t>
      </w:r>
    </w:p>
    <w:p>
      <w:pPr>
        <w:ind w:firstLine="560"/>
        <w:rPr>
          <w:sz w:val="28"/>
          <w:szCs w:val="28"/>
        </w:rPr>
      </w:pPr>
      <w:r>
        <w:rPr>
          <w:sz w:val="28"/>
          <w:szCs w:val="28"/>
        </w:rPr>
        <w:t>应由授权主体配置访问控制策略，并严格限制默认用户的访问权限；</w:t>
      </w:r>
    </w:p>
    <w:p>
      <w:pPr>
        <w:ind w:firstLine="560"/>
        <w:rPr>
          <w:sz w:val="28"/>
          <w:szCs w:val="28"/>
        </w:rPr>
      </w:pPr>
      <w:r>
        <w:rPr>
          <w:sz w:val="28"/>
          <w:szCs w:val="28"/>
        </w:rPr>
        <w:t>应提供访问控制功能，依据安全策略控制用户对文件、数据库表等客体的访问；</w:t>
      </w:r>
    </w:p>
    <w:p>
      <w:pPr>
        <w:ind w:firstLine="560"/>
        <w:rPr>
          <w:sz w:val="28"/>
          <w:szCs w:val="28"/>
        </w:rPr>
      </w:pPr>
      <w:r>
        <w:rPr>
          <w:sz w:val="28"/>
          <w:szCs w:val="28"/>
        </w:rPr>
        <w:t>访问控制的覆盖范围应包括与资源访问相关的主体、客体及它们之间的操作；</w:t>
      </w:r>
    </w:p>
    <w:p>
      <w:pPr>
        <w:ind w:firstLine="560"/>
        <w:rPr>
          <w:sz w:val="28"/>
          <w:szCs w:val="28"/>
        </w:rPr>
      </w:pPr>
      <w:r>
        <w:rPr>
          <w:sz w:val="28"/>
          <w:szCs w:val="28"/>
        </w:rPr>
        <w:t>应授予不同帐户为完成各自承担任务所需的最小权限，并在它们之间形成相互制约的关系；</w:t>
      </w:r>
    </w:p>
    <w:p>
      <w:pPr>
        <w:ind w:firstLine="560"/>
        <w:rPr>
          <w:sz w:val="28"/>
          <w:szCs w:val="28"/>
        </w:rPr>
      </w:pPr>
      <w:r>
        <w:rPr>
          <w:sz w:val="28"/>
          <w:szCs w:val="28"/>
        </w:rPr>
        <w:t>应具有对重要信息资源设置敏感标记的功能；</w:t>
      </w:r>
    </w:p>
    <w:p>
      <w:pPr>
        <w:ind w:firstLine="560"/>
        <w:rPr>
          <w:sz w:val="28"/>
          <w:szCs w:val="28"/>
        </w:rPr>
      </w:pPr>
      <w:r>
        <w:rPr>
          <w:sz w:val="28"/>
          <w:szCs w:val="28"/>
        </w:rPr>
        <w:t>应依据安全策略严格控制用户对有敏感标记重要信息资源的操作。</w:t>
      </w:r>
    </w:p>
    <w:p>
      <w:pPr>
        <w:ind w:firstLine="560"/>
        <w:rPr>
          <w:sz w:val="28"/>
          <w:szCs w:val="28"/>
        </w:rPr>
      </w:pPr>
      <w:r>
        <w:rPr>
          <w:sz w:val="28"/>
          <w:szCs w:val="28"/>
        </w:rPr>
        <w:t>（2）实现方式</w:t>
      </w:r>
    </w:p>
    <w:p>
      <w:pPr>
        <w:ind w:firstLine="560"/>
        <w:rPr>
          <w:sz w:val="28"/>
          <w:szCs w:val="28"/>
        </w:rPr>
      </w:pPr>
      <w:r>
        <w:rPr>
          <w:sz w:val="28"/>
          <w:szCs w:val="28"/>
        </w:rPr>
        <w:t>提供访问控制功能控制用户组/用户对系统功能和用户数据的访问由授权主体配置访问控制策略，并严格限制默认用户的访问权限，系统提供系统数据是否涉密属性设置功能，并提供强制访问涉密数据控制策略，包括无、只读、读写。</w:t>
      </w:r>
    </w:p>
    <w:p>
      <w:pPr>
        <w:ind w:firstLine="560"/>
        <w:rPr>
          <w:sz w:val="28"/>
          <w:szCs w:val="28"/>
        </w:rPr>
      </w:pPr>
      <w:r>
        <w:rPr>
          <w:sz w:val="28"/>
          <w:szCs w:val="28"/>
        </w:rPr>
        <w:t>提供访问控制功能，依据安全策略控制用户对文件、数据库表等客体的访问。</w:t>
      </w:r>
    </w:p>
    <w:p>
      <w:pPr>
        <w:ind w:firstLine="560"/>
        <w:rPr>
          <w:sz w:val="28"/>
          <w:szCs w:val="28"/>
        </w:rPr>
      </w:pPr>
      <w:r>
        <w:rPr>
          <w:sz w:val="28"/>
          <w:szCs w:val="28"/>
        </w:rPr>
        <w:t>访问控制的覆盖范围包括与资源访问相关的主体、客体及它们之间的操作；</w:t>
      </w:r>
    </w:p>
    <w:p>
      <w:pPr>
        <w:ind w:firstLine="560"/>
        <w:rPr>
          <w:sz w:val="28"/>
          <w:szCs w:val="28"/>
        </w:rPr>
      </w:pPr>
      <w:r>
        <w:rPr>
          <w:sz w:val="28"/>
          <w:szCs w:val="28"/>
        </w:rPr>
        <w:t>授予不同帐户为完成各自承担任务所需的最小权限，并在它们之间形成相互制约的关系；利用应用支撑平台的统一用户管理服务，可以实现角色的设置及角色权限授予、回收。系统默认拥有系统管理人员（系统管理员、安全保密管理员、安全审计员），系统用户（重要、一般等）三类角色。</w:t>
      </w:r>
    </w:p>
    <w:p>
      <w:pPr>
        <w:pStyle w:val="6"/>
        <w:spacing w:before="156" w:beforeLines="50" w:after="156" w:afterLines="50" w:line="360" w:lineRule="auto"/>
      </w:pPr>
      <w:bookmarkStart w:id="127" w:name="_Toc283743652"/>
      <w:bookmarkStart w:id="128" w:name="_Toc283743653"/>
      <w:r>
        <w:t>安全审计设计</w:t>
      </w:r>
      <w:bookmarkEnd w:id="127"/>
    </w:p>
    <w:p>
      <w:pPr>
        <w:ind w:firstLine="560"/>
        <w:rPr>
          <w:sz w:val="28"/>
          <w:szCs w:val="28"/>
        </w:rPr>
      </w:pPr>
      <w:r>
        <w:rPr>
          <w:sz w:val="28"/>
          <w:szCs w:val="28"/>
        </w:rPr>
        <w:t>（1）基本要求</w:t>
      </w:r>
    </w:p>
    <w:p>
      <w:pPr>
        <w:ind w:firstLine="560"/>
        <w:rPr>
          <w:sz w:val="28"/>
          <w:szCs w:val="28"/>
        </w:rPr>
      </w:pPr>
      <w:r>
        <w:rPr>
          <w:sz w:val="28"/>
          <w:szCs w:val="28"/>
        </w:rPr>
        <w:t>应提供覆盖到每个用户的安全审计功能，对应用系统重要安全事件进行审计；</w:t>
      </w:r>
    </w:p>
    <w:p>
      <w:pPr>
        <w:ind w:firstLine="560"/>
        <w:rPr>
          <w:sz w:val="28"/>
          <w:szCs w:val="28"/>
        </w:rPr>
      </w:pPr>
      <w:r>
        <w:rPr>
          <w:sz w:val="28"/>
          <w:szCs w:val="28"/>
        </w:rPr>
        <w:t xml:space="preserve">应保证无法单独中断审计进程，无法删除、修改或覆盖审计记录； </w:t>
      </w:r>
    </w:p>
    <w:p>
      <w:pPr>
        <w:ind w:firstLine="560"/>
        <w:rPr>
          <w:sz w:val="28"/>
          <w:szCs w:val="28"/>
        </w:rPr>
      </w:pPr>
      <w:r>
        <w:rPr>
          <w:sz w:val="28"/>
          <w:szCs w:val="28"/>
        </w:rPr>
        <w:t xml:space="preserve">审计记录的内容至少应包括事件的日期、时间、发起者信息、类型、描述和结果等； </w:t>
      </w:r>
    </w:p>
    <w:p>
      <w:pPr>
        <w:ind w:firstLine="560"/>
        <w:rPr>
          <w:sz w:val="28"/>
          <w:szCs w:val="28"/>
        </w:rPr>
      </w:pPr>
      <w:r>
        <w:rPr>
          <w:sz w:val="28"/>
          <w:szCs w:val="28"/>
        </w:rPr>
        <w:t>应提供对审计记录数据进行统计、查询、分析及生成审计报表的功能。</w:t>
      </w:r>
    </w:p>
    <w:p>
      <w:pPr>
        <w:ind w:firstLine="560"/>
        <w:rPr>
          <w:sz w:val="28"/>
          <w:szCs w:val="28"/>
        </w:rPr>
      </w:pPr>
      <w:r>
        <w:rPr>
          <w:sz w:val="28"/>
          <w:szCs w:val="28"/>
        </w:rPr>
        <w:t>（2）实现方式</w:t>
      </w:r>
    </w:p>
    <w:p>
      <w:pPr>
        <w:ind w:firstLine="560"/>
        <w:rPr>
          <w:sz w:val="28"/>
          <w:szCs w:val="28"/>
        </w:rPr>
      </w:pPr>
      <w:r>
        <w:rPr>
          <w:sz w:val="28"/>
          <w:szCs w:val="28"/>
        </w:rPr>
        <w:t>通过部署网络与数据库审计系统，并结合集中安全管理平台审计功能，综合实现主机安全审计要求。</w:t>
      </w:r>
    </w:p>
    <w:p>
      <w:pPr>
        <w:ind w:firstLine="560"/>
        <w:rPr>
          <w:sz w:val="28"/>
          <w:szCs w:val="28"/>
        </w:rPr>
      </w:pPr>
      <w:r>
        <w:rPr>
          <w:sz w:val="28"/>
          <w:szCs w:val="28"/>
        </w:rPr>
        <w:t>安全审计范围至少覆盖应用中间件、数据库及系统本身的身份鉴别、访问控制、数据完整性、数据库维护等功能。审计记录信息包括被审计对象、时间、审计人、具体操作，能</w:t>
      </w:r>
      <w:bookmarkStart w:id="192" w:name="_GoBack"/>
      <w:bookmarkEnd w:id="192"/>
      <w:r>
        <w:rPr>
          <w:sz w:val="28"/>
          <w:szCs w:val="28"/>
        </w:rPr>
        <w:t>对安全事件的事后追查提供足够的信息。</w:t>
      </w:r>
    </w:p>
    <w:p>
      <w:pPr>
        <w:ind w:firstLine="560"/>
        <w:rPr>
          <w:sz w:val="28"/>
          <w:szCs w:val="28"/>
        </w:rPr>
      </w:pPr>
      <w:r>
        <w:rPr>
          <w:sz w:val="28"/>
          <w:szCs w:val="28"/>
        </w:rPr>
        <w:t>安全审计与身份鉴别、访问控制、数据完整性等安全功能的设计紧密结合，并为下述可审计事件产生审计记录：</w:t>
      </w:r>
    </w:p>
    <w:p>
      <w:pPr>
        <w:ind w:firstLine="560"/>
        <w:rPr>
          <w:sz w:val="28"/>
          <w:szCs w:val="28"/>
        </w:rPr>
      </w:pPr>
      <w:r>
        <w:rPr>
          <w:sz w:val="28"/>
          <w:szCs w:val="28"/>
        </w:rPr>
        <w:t>审计功能的启动和关闭：记录审计功能的启动和关闭时间、操作人员、是否成功、故障编号等；</w:t>
      </w:r>
    </w:p>
    <w:p>
      <w:pPr>
        <w:ind w:firstLine="560"/>
        <w:rPr>
          <w:sz w:val="28"/>
          <w:szCs w:val="28"/>
        </w:rPr>
      </w:pPr>
      <w:r>
        <w:rPr>
          <w:sz w:val="28"/>
          <w:szCs w:val="28"/>
        </w:rPr>
        <w:t>系统内用户增加、删除：记录用户增加、删除时间、操作人、操作是否成功、故障编号等；</w:t>
      </w:r>
    </w:p>
    <w:p>
      <w:pPr>
        <w:ind w:firstLine="560"/>
        <w:rPr>
          <w:sz w:val="28"/>
          <w:szCs w:val="28"/>
        </w:rPr>
      </w:pPr>
      <w:r>
        <w:rPr>
          <w:sz w:val="28"/>
          <w:szCs w:val="28"/>
        </w:rPr>
        <w:t>用户权限的更改：记录用户权限更改的时间、更改人、更改值、是否成功、故障编号等；</w:t>
      </w:r>
    </w:p>
    <w:p>
      <w:pPr>
        <w:ind w:firstLine="560"/>
        <w:rPr>
          <w:sz w:val="28"/>
          <w:szCs w:val="28"/>
        </w:rPr>
      </w:pPr>
      <w:r>
        <w:rPr>
          <w:sz w:val="28"/>
          <w:szCs w:val="28"/>
        </w:rPr>
        <w:t>系统管理员、系统安全员、审计员和一般操作员所实施的操作：记录操作员类型、操作员编号、操作、操作时间、是否成功、故障编号等；</w:t>
      </w:r>
    </w:p>
    <w:p>
      <w:pPr>
        <w:ind w:firstLine="560"/>
        <w:rPr>
          <w:sz w:val="28"/>
          <w:szCs w:val="28"/>
        </w:rPr>
      </w:pPr>
      <w:r>
        <w:rPr>
          <w:sz w:val="28"/>
          <w:szCs w:val="28"/>
        </w:rPr>
        <w:t>其它与系统安全有关的事件或专门定义的可审计事件：系统提供审计对象和审记事件的定义，以及审计记录信息的定义，并提供标准的开发接口，便于扩展开发。</w:t>
      </w:r>
    </w:p>
    <w:p>
      <w:pPr>
        <w:ind w:firstLine="560"/>
        <w:rPr>
          <w:sz w:val="28"/>
          <w:szCs w:val="28"/>
        </w:rPr>
      </w:pPr>
      <w:r>
        <w:rPr>
          <w:sz w:val="28"/>
          <w:szCs w:val="28"/>
        </w:rPr>
        <w:t>审记系统采用松偶合设计技术，数据与采集功能独立，当审计系统出现异常时，存储的审计记录不会受到影响。系统审计记录保存周期默认大于等于六个月（用户可以自行设置，但系统会限制其设置周期），在小于六个月时，系统不提供用户对审计记录的清空和删除功能。</w:t>
      </w:r>
    </w:p>
    <w:p>
      <w:pPr>
        <w:pStyle w:val="6"/>
        <w:spacing w:before="156" w:beforeLines="50" w:after="156" w:afterLines="50" w:line="360" w:lineRule="auto"/>
      </w:pPr>
      <w:r>
        <w:t>通讯完整性、保密性</w:t>
      </w:r>
      <w:bookmarkEnd w:id="128"/>
    </w:p>
    <w:p>
      <w:pPr>
        <w:ind w:firstLine="560"/>
        <w:rPr>
          <w:sz w:val="28"/>
          <w:szCs w:val="28"/>
        </w:rPr>
      </w:pPr>
      <w:r>
        <w:rPr>
          <w:sz w:val="28"/>
          <w:szCs w:val="28"/>
        </w:rPr>
        <w:t>（1）基本要求</w:t>
      </w:r>
    </w:p>
    <w:p>
      <w:pPr>
        <w:ind w:firstLine="560"/>
        <w:rPr>
          <w:sz w:val="28"/>
          <w:szCs w:val="28"/>
        </w:rPr>
      </w:pPr>
      <w:r>
        <w:rPr>
          <w:sz w:val="28"/>
          <w:szCs w:val="28"/>
        </w:rPr>
        <w:t xml:space="preserve">应采用约定通信会话方式的方法保证通信过程中数据的完整性； </w:t>
      </w:r>
    </w:p>
    <w:p>
      <w:pPr>
        <w:ind w:firstLine="560"/>
        <w:rPr>
          <w:sz w:val="28"/>
          <w:szCs w:val="28"/>
        </w:rPr>
      </w:pPr>
      <w:r>
        <w:rPr>
          <w:sz w:val="28"/>
          <w:szCs w:val="28"/>
        </w:rPr>
        <w:t>应采用</w:t>
      </w:r>
      <w:r>
        <w:rPr>
          <w:rFonts w:hint="eastAsia"/>
          <w:sz w:val="28"/>
          <w:szCs w:val="28"/>
        </w:rPr>
        <w:t>商用</w:t>
      </w:r>
      <w:r>
        <w:rPr>
          <w:sz w:val="28"/>
          <w:szCs w:val="28"/>
        </w:rPr>
        <w:t>密码</w:t>
      </w:r>
      <w:r>
        <w:rPr>
          <w:rFonts w:hint="eastAsia"/>
          <w:sz w:val="28"/>
          <w:szCs w:val="28"/>
        </w:rPr>
        <w:t>管理要求的</w:t>
      </w:r>
      <w:r>
        <w:rPr>
          <w:sz w:val="28"/>
          <w:szCs w:val="28"/>
        </w:rPr>
        <w:t xml:space="preserve">技术保证数据完整； </w:t>
      </w:r>
    </w:p>
    <w:p>
      <w:pPr>
        <w:ind w:firstLine="560"/>
        <w:rPr>
          <w:sz w:val="28"/>
          <w:szCs w:val="28"/>
        </w:rPr>
      </w:pPr>
      <w:r>
        <w:rPr>
          <w:sz w:val="28"/>
          <w:szCs w:val="28"/>
        </w:rPr>
        <w:t>应对通信过程中的</w:t>
      </w:r>
      <w:r>
        <w:rPr>
          <w:rFonts w:hint="eastAsia"/>
          <w:sz w:val="28"/>
          <w:szCs w:val="28"/>
        </w:rPr>
        <w:t>完整的通信</w:t>
      </w:r>
      <w:r>
        <w:rPr>
          <w:sz w:val="28"/>
          <w:szCs w:val="28"/>
        </w:rPr>
        <w:t>过程加密。</w:t>
      </w:r>
    </w:p>
    <w:p>
      <w:pPr>
        <w:ind w:firstLine="560"/>
        <w:rPr>
          <w:sz w:val="28"/>
          <w:szCs w:val="28"/>
        </w:rPr>
      </w:pPr>
      <w:r>
        <w:rPr>
          <w:sz w:val="28"/>
          <w:szCs w:val="28"/>
        </w:rPr>
        <w:t>（2）实现方式</w:t>
      </w:r>
    </w:p>
    <w:p>
      <w:pPr>
        <w:ind w:firstLine="560"/>
        <w:rPr>
          <w:sz w:val="28"/>
          <w:szCs w:val="28"/>
        </w:rPr>
      </w:pPr>
      <w:r>
        <w:rPr>
          <w:sz w:val="28"/>
          <w:szCs w:val="28"/>
        </w:rPr>
        <w:t>采用约定通信会话方式的方法保证通信过程中数据的完整性；</w:t>
      </w:r>
    </w:p>
    <w:p>
      <w:pPr>
        <w:ind w:firstLine="560"/>
        <w:rPr>
          <w:sz w:val="28"/>
          <w:szCs w:val="28"/>
        </w:rPr>
      </w:pPr>
      <w:r>
        <w:rPr>
          <w:sz w:val="28"/>
          <w:szCs w:val="28"/>
        </w:rPr>
        <w:t>采用MD5单向加密密码技术保证通信过程中数据的完整性；</w:t>
      </w:r>
    </w:p>
    <w:p>
      <w:pPr>
        <w:ind w:firstLine="560"/>
        <w:rPr>
          <w:sz w:val="28"/>
          <w:szCs w:val="28"/>
        </w:rPr>
      </w:pPr>
      <w:r>
        <w:rPr>
          <w:sz w:val="28"/>
          <w:szCs w:val="28"/>
        </w:rPr>
        <w:t>通信双方建立连接之前，应用系统利用密码技术进行会话初始化验证；</w:t>
      </w:r>
    </w:p>
    <w:p>
      <w:pPr>
        <w:ind w:firstLine="560"/>
        <w:rPr>
          <w:sz w:val="28"/>
          <w:szCs w:val="28"/>
        </w:rPr>
      </w:pPr>
      <w:r>
        <w:rPr>
          <w:sz w:val="28"/>
          <w:szCs w:val="28"/>
        </w:rPr>
        <w:t>对通信过程中的整个报文或会话过程采用MD5单向加密密码技术进行加密。</w:t>
      </w:r>
    </w:p>
    <w:p>
      <w:pPr>
        <w:pStyle w:val="6"/>
        <w:spacing w:before="156" w:beforeLines="50" w:after="156" w:afterLines="50" w:line="360" w:lineRule="auto"/>
      </w:pPr>
      <w:bookmarkStart w:id="129" w:name="_Toc283743655"/>
      <w:r>
        <w:t>剩余资源保护和控制</w:t>
      </w:r>
      <w:bookmarkEnd w:id="129"/>
    </w:p>
    <w:p>
      <w:pPr>
        <w:ind w:firstLine="560"/>
        <w:rPr>
          <w:sz w:val="28"/>
          <w:szCs w:val="28"/>
        </w:rPr>
      </w:pPr>
      <w:r>
        <w:rPr>
          <w:sz w:val="28"/>
          <w:szCs w:val="28"/>
        </w:rPr>
        <w:t>（1）基本要求</w:t>
      </w:r>
    </w:p>
    <w:p>
      <w:pPr>
        <w:ind w:firstLine="560"/>
        <w:rPr>
          <w:sz w:val="28"/>
          <w:szCs w:val="28"/>
        </w:rPr>
      </w:pPr>
      <w:r>
        <w:rPr>
          <w:sz w:val="28"/>
          <w:szCs w:val="28"/>
        </w:rPr>
        <w:t xml:space="preserve">应保证用户鉴别信息所在的存储空间被释放或再分配给其他用户前得到完全清除，无论这些信息是存放在硬盘上还是在内存中； </w:t>
      </w:r>
    </w:p>
    <w:p>
      <w:pPr>
        <w:ind w:firstLine="560"/>
        <w:rPr>
          <w:sz w:val="28"/>
          <w:szCs w:val="28"/>
        </w:rPr>
      </w:pPr>
      <w:r>
        <w:rPr>
          <w:sz w:val="28"/>
          <w:szCs w:val="28"/>
        </w:rPr>
        <w:t xml:space="preserve">应保证系统内的文件、目录和数据库记录等资源所在的存储空间被释放或重新分配给其他用户前得到完全清除； </w:t>
      </w:r>
    </w:p>
    <w:p>
      <w:pPr>
        <w:ind w:firstLine="560"/>
        <w:rPr>
          <w:sz w:val="28"/>
          <w:szCs w:val="28"/>
        </w:rPr>
      </w:pPr>
      <w:r>
        <w:rPr>
          <w:sz w:val="28"/>
          <w:szCs w:val="28"/>
        </w:rPr>
        <w:t>（2）实现方式</w:t>
      </w:r>
    </w:p>
    <w:p>
      <w:pPr>
        <w:ind w:firstLine="560"/>
        <w:rPr>
          <w:sz w:val="28"/>
          <w:szCs w:val="28"/>
        </w:rPr>
      </w:pPr>
      <w:r>
        <w:rPr>
          <w:sz w:val="28"/>
          <w:szCs w:val="28"/>
        </w:rPr>
        <w:t>通过对应用系统和数据库在系统开发时的安全代码设计实现。</w:t>
      </w:r>
    </w:p>
    <w:p>
      <w:pPr>
        <w:ind w:firstLine="560"/>
        <w:rPr>
          <w:sz w:val="28"/>
          <w:szCs w:val="28"/>
        </w:rPr>
      </w:pPr>
      <w:r>
        <w:rPr>
          <w:sz w:val="28"/>
          <w:szCs w:val="28"/>
        </w:rPr>
        <w:t>保证用户鉴别信息所在的存储空间被释放或再分配给其他用户前得到完全清除，无论这些信息是存放在硬盘上还是在内存中；</w:t>
      </w:r>
    </w:p>
    <w:p>
      <w:pPr>
        <w:ind w:firstLine="560"/>
        <w:rPr>
          <w:sz w:val="28"/>
          <w:szCs w:val="28"/>
        </w:rPr>
      </w:pPr>
      <w:r>
        <w:rPr>
          <w:sz w:val="28"/>
          <w:szCs w:val="28"/>
        </w:rPr>
        <w:t>保证系统内的文件、目录和数据库记录等资源所在的存储空间被释放或重新分配给其他用户前得到完全清除</w:t>
      </w:r>
    </w:p>
    <w:p>
      <w:pPr>
        <w:ind w:firstLine="560"/>
        <w:rPr>
          <w:sz w:val="28"/>
          <w:szCs w:val="28"/>
        </w:rPr>
      </w:pPr>
      <w:r>
        <w:rPr>
          <w:sz w:val="28"/>
          <w:szCs w:val="28"/>
        </w:rPr>
        <w:t>当应用系统的通信双方中的一方在一段时间内未作任何响应，用户可以设置多少秒后，另一方应能够自动结束会话；</w:t>
      </w:r>
    </w:p>
    <w:p>
      <w:pPr>
        <w:ind w:firstLine="560"/>
        <w:rPr>
          <w:sz w:val="28"/>
          <w:szCs w:val="28"/>
        </w:rPr>
      </w:pPr>
      <w:r>
        <w:rPr>
          <w:sz w:val="28"/>
          <w:szCs w:val="28"/>
        </w:rPr>
        <w:t>能够对系统的最大并发会话连接数进行限制；</w:t>
      </w:r>
    </w:p>
    <w:p>
      <w:pPr>
        <w:ind w:firstLine="560"/>
        <w:rPr>
          <w:sz w:val="28"/>
          <w:szCs w:val="28"/>
        </w:rPr>
      </w:pPr>
      <w:r>
        <w:rPr>
          <w:sz w:val="28"/>
          <w:szCs w:val="28"/>
        </w:rPr>
        <w:t>能够对单个帐户的多重并发会话进行限制。</w:t>
      </w:r>
    </w:p>
    <w:p>
      <w:pPr>
        <w:ind w:firstLine="560"/>
        <w:rPr>
          <w:sz w:val="28"/>
          <w:szCs w:val="28"/>
        </w:rPr>
      </w:pPr>
      <w:r>
        <w:rPr>
          <w:sz w:val="28"/>
          <w:szCs w:val="28"/>
        </w:rPr>
        <w:t>能够对一个时间段内可能的并发会话连接数进行限制</w:t>
      </w:r>
    </w:p>
    <w:p>
      <w:pPr>
        <w:ind w:firstLine="560"/>
        <w:rPr>
          <w:sz w:val="28"/>
          <w:szCs w:val="28"/>
        </w:rPr>
      </w:pPr>
      <w:r>
        <w:rPr>
          <w:sz w:val="28"/>
          <w:szCs w:val="28"/>
        </w:rPr>
        <w:t>能够对一个访问帐户或一个请求进程占用的资源分配最大限额和最小限额</w:t>
      </w:r>
    </w:p>
    <w:p>
      <w:pPr>
        <w:ind w:firstLine="560"/>
        <w:rPr>
          <w:sz w:val="28"/>
          <w:szCs w:val="28"/>
        </w:rPr>
      </w:pPr>
      <w:r>
        <w:rPr>
          <w:sz w:val="28"/>
          <w:szCs w:val="28"/>
        </w:rPr>
        <w:t>能够对系统服务水平降低到预先规定的最小值进行检测和报警，如审计日志空间不足提醒等。</w:t>
      </w:r>
    </w:p>
    <w:p>
      <w:pPr>
        <w:pStyle w:val="6"/>
        <w:spacing w:before="156" w:beforeLines="50" w:after="156" w:afterLines="50" w:line="360" w:lineRule="auto"/>
      </w:pPr>
      <w:bookmarkStart w:id="130" w:name="_Toc283743656"/>
      <w:r>
        <w:t>软件容错</w:t>
      </w:r>
      <w:bookmarkEnd w:id="130"/>
    </w:p>
    <w:p>
      <w:pPr>
        <w:ind w:firstLine="560"/>
        <w:rPr>
          <w:sz w:val="28"/>
          <w:szCs w:val="28"/>
        </w:rPr>
      </w:pPr>
      <w:r>
        <w:rPr>
          <w:sz w:val="28"/>
          <w:szCs w:val="28"/>
        </w:rPr>
        <w:t>（1）基本要求</w:t>
      </w:r>
    </w:p>
    <w:p>
      <w:pPr>
        <w:ind w:firstLine="560"/>
        <w:rPr>
          <w:sz w:val="28"/>
          <w:szCs w:val="28"/>
        </w:rPr>
      </w:pPr>
      <w:r>
        <w:rPr>
          <w:sz w:val="28"/>
          <w:szCs w:val="28"/>
        </w:rPr>
        <w:t xml:space="preserve">在故障发生时，应用系统应能够继续提供一部分功能，确保能够实施必要的措施； </w:t>
      </w:r>
    </w:p>
    <w:p>
      <w:pPr>
        <w:ind w:firstLine="560"/>
        <w:rPr>
          <w:sz w:val="28"/>
          <w:szCs w:val="28"/>
        </w:rPr>
      </w:pPr>
      <w:r>
        <w:rPr>
          <w:sz w:val="28"/>
          <w:szCs w:val="28"/>
        </w:rPr>
        <w:t xml:space="preserve">应提供数据有效性检验功能，保证通过人机接口输入或通过通信接口输入的数据格式或长度符合系统设定要求； </w:t>
      </w:r>
    </w:p>
    <w:p>
      <w:pPr>
        <w:ind w:firstLine="560"/>
        <w:rPr>
          <w:sz w:val="28"/>
          <w:szCs w:val="28"/>
        </w:rPr>
      </w:pPr>
      <w:r>
        <w:rPr>
          <w:sz w:val="28"/>
          <w:szCs w:val="28"/>
        </w:rPr>
        <w:t>应提供自动保护功能，当故障发生时自动保护当前所有状态，保证系统能够进行恢复。</w:t>
      </w:r>
    </w:p>
    <w:p>
      <w:pPr>
        <w:ind w:firstLine="560"/>
        <w:rPr>
          <w:sz w:val="28"/>
          <w:szCs w:val="28"/>
        </w:rPr>
      </w:pPr>
      <w:r>
        <w:rPr>
          <w:sz w:val="28"/>
          <w:szCs w:val="28"/>
        </w:rPr>
        <w:t>（2）实现方式</w:t>
      </w:r>
    </w:p>
    <w:p>
      <w:pPr>
        <w:ind w:firstLine="560"/>
        <w:rPr>
          <w:sz w:val="28"/>
          <w:szCs w:val="28"/>
        </w:rPr>
      </w:pPr>
      <w:r>
        <w:rPr>
          <w:sz w:val="28"/>
          <w:szCs w:val="28"/>
        </w:rPr>
        <w:t>在故障发生时，应用系统能够继续提供一部分功能，如非登录用户的公共功能。能够实施必要的措施</w:t>
      </w:r>
    </w:p>
    <w:p>
      <w:pPr>
        <w:ind w:firstLine="560"/>
        <w:rPr>
          <w:sz w:val="28"/>
          <w:szCs w:val="28"/>
        </w:rPr>
      </w:pPr>
      <w:r>
        <w:rPr>
          <w:sz w:val="28"/>
          <w:szCs w:val="28"/>
        </w:rPr>
        <w:t>提供数据有效性检验功能，保证通过人机接口输入或通过通信接口输入的数据格式或长度符合系统设定要求；</w:t>
      </w:r>
    </w:p>
    <w:p>
      <w:pPr>
        <w:ind w:firstLine="560"/>
        <w:rPr>
          <w:sz w:val="28"/>
          <w:szCs w:val="28"/>
        </w:rPr>
      </w:pPr>
      <w:r>
        <w:rPr>
          <w:sz w:val="28"/>
          <w:szCs w:val="28"/>
        </w:rPr>
        <w:t>采用集群技术和备份技术，提供自动保护功能，当故障发生时自动保护当前所有状态，保证系统能够进行恢复。</w:t>
      </w:r>
    </w:p>
    <w:p>
      <w:pPr>
        <w:ind w:firstLine="560"/>
        <w:rPr>
          <w:sz w:val="28"/>
          <w:szCs w:val="28"/>
        </w:rPr>
      </w:pPr>
      <w:r>
        <w:rPr>
          <w:sz w:val="28"/>
          <w:szCs w:val="28"/>
        </w:rPr>
        <w:t>软件程序应当能够自动保护当前所有状态，保证系统能够进行恢复，例如记录故障发生时的系统状态功能（系统状态的快照），便于事后分析故障原因。</w:t>
      </w:r>
    </w:p>
    <w:p>
      <w:pPr>
        <w:ind w:firstLine="560"/>
        <w:rPr>
          <w:sz w:val="28"/>
          <w:szCs w:val="28"/>
        </w:rPr>
      </w:pPr>
      <w:r>
        <w:rPr>
          <w:sz w:val="28"/>
          <w:szCs w:val="28"/>
        </w:rPr>
        <w:t>在程序开发时通过安全编程实现。</w:t>
      </w:r>
    </w:p>
    <w:p>
      <w:pPr>
        <w:pStyle w:val="5"/>
      </w:pPr>
      <w:r>
        <w:t>数据安全与备份</w:t>
      </w:r>
    </w:p>
    <w:p>
      <w:pPr>
        <w:pStyle w:val="6"/>
        <w:spacing w:before="156" w:beforeLines="50" w:after="156" w:afterLines="50" w:line="360" w:lineRule="auto"/>
      </w:pPr>
      <w:bookmarkStart w:id="131" w:name="_Toc207513573"/>
      <w:bookmarkStart w:id="132" w:name="_Toc247972048"/>
      <w:bookmarkStart w:id="133" w:name="_Toc203307893"/>
      <w:bookmarkStart w:id="134" w:name="_Toc283743658"/>
      <w:bookmarkStart w:id="135" w:name="_Toc204333083"/>
      <w:r>
        <w:t>数据完整性</w:t>
      </w:r>
      <w:bookmarkEnd w:id="131"/>
      <w:bookmarkEnd w:id="132"/>
      <w:bookmarkEnd w:id="133"/>
      <w:bookmarkEnd w:id="134"/>
      <w:bookmarkEnd w:id="135"/>
      <w:bookmarkStart w:id="136" w:name="_Toc204333084"/>
      <w:bookmarkStart w:id="137" w:name="_Toc203307894"/>
      <w:bookmarkStart w:id="138" w:name="_Toc207513574"/>
      <w:bookmarkStart w:id="139" w:name="_Toc247972049"/>
    </w:p>
    <w:p>
      <w:pPr>
        <w:ind w:firstLine="560"/>
        <w:rPr>
          <w:sz w:val="28"/>
          <w:szCs w:val="28"/>
        </w:rPr>
      </w:pPr>
      <w:r>
        <w:rPr>
          <w:sz w:val="28"/>
          <w:szCs w:val="28"/>
        </w:rPr>
        <w:t>（1）基本要求</w:t>
      </w:r>
    </w:p>
    <w:p>
      <w:pPr>
        <w:ind w:firstLine="560"/>
        <w:rPr>
          <w:sz w:val="28"/>
          <w:szCs w:val="28"/>
        </w:rPr>
      </w:pPr>
      <w:r>
        <w:rPr>
          <w:sz w:val="28"/>
          <w:szCs w:val="28"/>
        </w:rPr>
        <w:t xml:space="preserve">应能够检测到重要用户数据在传输过程中完整性受到破坏； </w:t>
      </w:r>
    </w:p>
    <w:p>
      <w:pPr>
        <w:ind w:firstLine="560"/>
        <w:rPr>
          <w:sz w:val="28"/>
          <w:szCs w:val="28"/>
        </w:rPr>
      </w:pPr>
      <w:r>
        <w:rPr>
          <w:sz w:val="28"/>
          <w:szCs w:val="28"/>
        </w:rPr>
        <w:t xml:space="preserve">应能够检测到鉴别信息和重要业务数据在传输过程中完整性受到破坏； </w:t>
      </w:r>
    </w:p>
    <w:p>
      <w:pPr>
        <w:ind w:firstLine="560"/>
        <w:rPr>
          <w:sz w:val="28"/>
          <w:szCs w:val="28"/>
        </w:rPr>
      </w:pPr>
      <w:r>
        <w:rPr>
          <w:sz w:val="28"/>
          <w:szCs w:val="28"/>
        </w:rPr>
        <w:t xml:space="preserve">应能够检测到系统管理数据、鉴别信息和重要业务数据在传输过程中完整性受到破坏，并在检测到完整性错误时采取必要的恢复措施； </w:t>
      </w:r>
    </w:p>
    <w:p>
      <w:pPr>
        <w:ind w:firstLine="560"/>
        <w:rPr>
          <w:sz w:val="28"/>
          <w:szCs w:val="28"/>
        </w:rPr>
      </w:pPr>
      <w:r>
        <w:rPr>
          <w:sz w:val="28"/>
          <w:szCs w:val="28"/>
        </w:rPr>
        <w:t>应能够检测到系统管理数据、鉴别信息和重要业务数据在存储过程中完整性受到破坏，并在检测到完整性错误时采取必要的恢复措施。</w:t>
      </w:r>
    </w:p>
    <w:p>
      <w:pPr>
        <w:ind w:firstLine="560"/>
        <w:rPr>
          <w:sz w:val="28"/>
          <w:szCs w:val="28"/>
        </w:rPr>
      </w:pPr>
      <w:r>
        <w:rPr>
          <w:sz w:val="28"/>
          <w:szCs w:val="28"/>
        </w:rPr>
        <w:t>（2）实现方式</w:t>
      </w:r>
    </w:p>
    <w:p>
      <w:pPr>
        <w:ind w:firstLine="560"/>
        <w:rPr>
          <w:sz w:val="28"/>
          <w:szCs w:val="28"/>
        </w:rPr>
      </w:pPr>
      <w:r>
        <w:rPr>
          <w:sz w:val="28"/>
          <w:szCs w:val="28"/>
        </w:rPr>
        <w:t>通过使用Hash校验的方法确保数据的完整性；</w:t>
      </w:r>
    </w:p>
    <w:p>
      <w:pPr>
        <w:ind w:firstLine="560"/>
        <w:rPr>
          <w:sz w:val="28"/>
          <w:szCs w:val="28"/>
        </w:rPr>
      </w:pPr>
      <w:r>
        <w:rPr>
          <w:sz w:val="28"/>
          <w:szCs w:val="28"/>
        </w:rPr>
        <w:t>传输过程的完整性受到损坏则采取数据重传的机制；</w:t>
      </w:r>
    </w:p>
    <w:p>
      <w:pPr>
        <w:ind w:firstLine="560"/>
        <w:rPr>
          <w:sz w:val="28"/>
          <w:szCs w:val="28"/>
        </w:rPr>
      </w:pPr>
      <w:r>
        <w:rPr>
          <w:sz w:val="28"/>
          <w:szCs w:val="28"/>
        </w:rPr>
        <w:t>对于存储的数据则应采取多个备份的方式，防止单一数据损坏造成的损失。</w:t>
      </w:r>
    </w:p>
    <w:p>
      <w:pPr>
        <w:pStyle w:val="6"/>
        <w:spacing w:before="156" w:beforeLines="50" w:after="156" w:afterLines="50" w:line="360" w:lineRule="auto"/>
      </w:pPr>
      <w:bookmarkStart w:id="140" w:name="_Toc283743659"/>
      <w:r>
        <w:t>数据保密性</w:t>
      </w:r>
      <w:bookmarkEnd w:id="136"/>
      <w:bookmarkEnd w:id="137"/>
      <w:bookmarkEnd w:id="138"/>
      <w:bookmarkEnd w:id="139"/>
      <w:bookmarkEnd w:id="140"/>
      <w:bookmarkStart w:id="141" w:name="_Toc247972050"/>
      <w:bookmarkStart w:id="142" w:name="_Toc204333085"/>
      <w:bookmarkStart w:id="143" w:name="_Toc207513575"/>
      <w:bookmarkStart w:id="144" w:name="_Toc203307895"/>
    </w:p>
    <w:p>
      <w:pPr>
        <w:ind w:firstLine="560"/>
        <w:rPr>
          <w:sz w:val="28"/>
          <w:szCs w:val="28"/>
        </w:rPr>
      </w:pPr>
      <w:r>
        <w:rPr>
          <w:sz w:val="28"/>
          <w:szCs w:val="28"/>
        </w:rPr>
        <w:t>（1）基本要求</w:t>
      </w:r>
    </w:p>
    <w:p>
      <w:pPr>
        <w:ind w:firstLine="560"/>
        <w:rPr>
          <w:sz w:val="28"/>
          <w:szCs w:val="28"/>
        </w:rPr>
      </w:pPr>
      <w:r>
        <w:rPr>
          <w:sz w:val="28"/>
          <w:szCs w:val="28"/>
        </w:rPr>
        <w:t xml:space="preserve">应采用加密或其他保护措施实现鉴别信息的存储保密性； </w:t>
      </w:r>
    </w:p>
    <w:p>
      <w:pPr>
        <w:ind w:firstLine="560"/>
        <w:rPr>
          <w:sz w:val="28"/>
          <w:szCs w:val="28"/>
        </w:rPr>
      </w:pPr>
      <w:r>
        <w:rPr>
          <w:sz w:val="28"/>
          <w:szCs w:val="28"/>
        </w:rPr>
        <w:t xml:space="preserve">应采用加密或其他有效措施实现系统管理数据、鉴别信息和重要业务数据传输保密性； </w:t>
      </w:r>
    </w:p>
    <w:p>
      <w:pPr>
        <w:ind w:firstLine="560"/>
        <w:rPr>
          <w:sz w:val="28"/>
          <w:szCs w:val="28"/>
        </w:rPr>
      </w:pPr>
      <w:r>
        <w:rPr>
          <w:sz w:val="28"/>
          <w:szCs w:val="28"/>
        </w:rPr>
        <w:t>应采用加密或其他保护措施实现系统管理数据、鉴别信息和重要业务数据存储保密性。</w:t>
      </w:r>
    </w:p>
    <w:p>
      <w:pPr>
        <w:ind w:firstLine="560"/>
        <w:rPr>
          <w:sz w:val="28"/>
          <w:szCs w:val="28"/>
        </w:rPr>
      </w:pPr>
      <w:r>
        <w:rPr>
          <w:sz w:val="28"/>
          <w:szCs w:val="28"/>
        </w:rPr>
        <w:t>（2）实现方式</w:t>
      </w:r>
    </w:p>
    <w:p>
      <w:pPr>
        <w:ind w:firstLine="560"/>
        <w:rPr>
          <w:sz w:val="28"/>
          <w:szCs w:val="28"/>
        </w:rPr>
      </w:pPr>
      <w:r>
        <w:rPr>
          <w:sz w:val="28"/>
          <w:szCs w:val="28"/>
        </w:rPr>
        <w:t>无论在身份验证阶段还是数据传输阶段都使用加密的形式传输数据；</w:t>
      </w:r>
    </w:p>
    <w:p>
      <w:pPr>
        <w:ind w:firstLine="560"/>
        <w:rPr>
          <w:sz w:val="28"/>
          <w:szCs w:val="28"/>
        </w:rPr>
      </w:pPr>
      <w:r>
        <w:rPr>
          <w:sz w:val="28"/>
          <w:szCs w:val="28"/>
        </w:rPr>
        <w:t>对存储的重要数据需要采取加密手段进行保存；</w:t>
      </w:r>
    </w:p>
    <w:p>
      <w:pPr>
        <w:ind w:firstLine="560"/>
        <w:rPr>
          <w:sz w:val="28"/>
          <w:szCs w:val="28"/>
        </w:rPr>
      </w:pPr>
      <w:r>
        <w:rPr>
          <w:sz w:val="28"/>
          <w:szCs w:val="28"/>
        </w:rPr>
        <w:t>对于本身就是加密方式存储和使用的数据，在传输过程中可以适当降低对传输过程中加密的要求。</w:t>
      </w:r>
    </w:p>
    <w:p>
      <w:pPr>
        <w:pStyle w:val="6"/>
        <w:spacing w:before="156" w:beforeLines="50" w:after="156" w:afterLines="50" w:line="360" w:lineRule="auto"/>
      </w:pPr>
      <w:bookmarkStart w:id="145" w:name="_Toc283743660"/>
      <w:r>
        <w:t>备份恢复</w:t>
      </w:r>
      <w:bookmarkEnd w:id="141"/>
      <w:bookmarkEnd w:id="142"/>
      <w:bookmarkEnd w:id="143"/>
      <w:bookmarkEnd w:id="144"/>
      <w:bookmarkEnd w:id="145"/>
    </w:p>
    <w:p>
      <w:pPr>
        <w:ind w:firstLine="560"/>
        <w:rPr>
          <w:sz w:val="28"/>
          <w:szCs w:val="28"/>
        </w:rPr>
      </w:pPr>
      <w:r>
        <w:rPr>
          <w:sz w:val="28"/>
          <w:szCs w:val="28"/>
        </w:rPr>
        <w:t>（1）基本要求</w:t>
      </w:r>
    </w:p>
    <w:p>
      <w:pPr>
        <w:ind w:firstLine="560"/>
        <w:rPr>
          <w:sz w:val="28"/>
          <w:szCs w:val="28"/>
        </w:rPr>
      </w:pPr>
      <w:r>
        <w:rPr>
          <w:sz w:val="28"/>
          <w:szCs w:val="28"/>
        </w:rPr>
        <w:t>应能够对重要信息进行备份和恢复；</w:t>
      </w:r>
    </w:p>
    <w:p>
      <w:pPr>
        <w:ind w:firstLine="560"/>
        <w:rPr>
          <w:sz w:val="28"/>
          <w:szCs w:val="28"/>
        </w:rPr>
      </w:pPr>
      <w:r>
        <w:rPr>
          <w:sz w:val="28"/>
          <w:szCs w:val="28"/>
        </w:rPr>
        <w:t xml:space="preserve">应提供关键网络设备、通信线路和数据处理系统的硬件冗余，保证系统的可用性； </w:t>
      </w:r>
    </w:p>
    <w:p>
      <w:pPr>
        <w:ind w:firstLine="560"/>
        <w:rPr>
          <w:sz w:val="28"/>
          <w:szCs w:val="28"/>
        </w:rPr>
      </w:pPr>
      <w:r>
        <w:rPr>
          <w:sz w:val="28"/>
          <w:szCs w:val="28"/>
        </w:rPr>
        <w:t xml:space="preserve">应提供本地数据备份与恢复功能，完全数据备份至少每天一次，备份介质场外存放； </w:t>
      </w:r>
    </w:p>
    <w:p>
      <w:pPr>
        <w:ind w:firstLine="560"/>
        <w:rPr>
          <w:sz w:val="28"/>
          <w:szCs w:val="28"/>
        </w:rPr>
      </w:pPr>
      <w:r>
        <w:rPr>
          <w:sz w:val="28"/>
          <w:szCs w:val="28"/>
        </w:rPr>
        <w:t xml:space="preserve">应采用冗余技术设计网络拓扑结构，避免关键节点存在单点故障； </w:t>
      </w:r>
    </w:p>
    <w:p>
      <w:pPr>
        <w:ind w:firstLine="560"/>
        <w:rPr>
          <w:sz w:val="28"/>
          <w:szCs w:val="28"/>
        </w:rPr>
      </w:pPr>
      <w:r>
        <w:rPr>
          <w:sz w:val="28"/>
          <w:szCs w:val="28"/>
        </w:rPr>
        <w:t>应提供主要网络设备、通信线路和数据处理系统的硬件冗余，保证系统的高可用性。</w:t>
      </w:r>
    </w:p>
    <w:p>
      <w:pPr>
        <w:ind w:firstLine="560"/>
        <w:rPr>
          <w:sz w:val="28"/>
          <w:szCs w:val="28"/>
        </w:rPr>
      </w:pPr>
      <w:r>
        <w:rPr>
          <w:sz w:val="28"/>
          <w:szCs w:val="28"/>
        </w:rPr>
        <w:t>（2）实现方式</w:t>
      </w:r>
    </w:p>
    <w:p>
      <w:pPr>
        <w:ind w:firstLine="560"/>
        <w:rPr>
          <w:sz w:val="28"/>
          <w:szCs w:val="28"/>
        </w:rPr>
      </w:pPr>
      <w:r>
        <w:rPr>
          <w:sz w:val="28"/>
          <w:szCs w:val="28"/>
        </w:rPr>
        <w:t>对于网络设备、通信系统等的备份以及避免网络拓扑结构中关键节点的单点故障，通过硬件冗余等方式实现；</w:t>
      </w:r>
    </w:p>
    <w:p>
      <w:pPr>
        <w:ind w:firstLine="560"/>
        <w:rPr>
          <w:sz w:val="28"/>
          <w:szCs w:val="28"/>
        </w:rPr>
      </w:pPr>
      <w:r>
        <w:rPr>
          <w:sz w:val="28"/>
          <w:szCs w:val="28"/>
        </w:rPr>
        <w:t>数据备份设计通过部署备份系统和备份软件实现。</w:t>
      </w:r>
    </w:p>
    <w:p>
      <w:pPr>
        <w:pStyle w:val="5"/>
        <w:spacing w:before="156" w:beforeLines="50" w:after="156" w:afterLines="50" w:line="360" w:lineRule="auto"/>
        <w:ind w:left="0"/>
      </w:pPr>
      <w:r>
        <w:t>主机安全设计</w:t>
      </w:r>
    </w:p>
    <w:p>
      <w:pPr>
        <w:ind w:firstLine="560"/>
        <w:rPr>
          <w:sz w:val="28"/>
          <w:szCs w:val="28"/>
        </w:rPr>
      </w:pPr>
      <w:r>
        <w:rPr>
          <w:rFonts w:hint="eastAsia"/>
          <w:sz w:val="28"/>
          <w:szCs w:val="28"/>
        </w:rPr>
        <w:t>依托保定市政务云机房等保要求，在此基础上进行安全设计。</w:t>
      </w:r>
    </w:p>
    <w:p>
      <w:pPr>
        <w:ind w:firstLine="560"/>
        <w:rPr>
          <w:sz w:val="28"/>
          <w:szCs w:val="28"/>
        </w:rPr>
      </w:pPr>
      <w:r>
        <w:rPr>
          <w:sz w:val="28"/>
          <w:szCs w:val="28"/>
        </w:rPr>
        <w:t>主机安全指环境统计直报系统运行的服务器的安全，</w:t>
      </w:r>
      <w:r>
        <w:rPr>
          <w:rFonts w:hint="eastAsia"/>
          <w:sz w:val="28"/>
          <w:szCs w:val="28"/>
        </w:rPr>
        <w:t>对</w:t>
      </w:r>
      <w:r>
        <w:rPr>
          <w:sz w:val="28"/>
          <w:szCs w:val="28"/>
        </w:rPr>
        <w:t>主机的身份鉴别、访问控制、安全审计、入侵检测、恶意代码防范、剩余信息保护和资源控制等</w:t>
      </w:r>
      <w:r>
        <w:rPr>
          <w:rFonts w:hint="eastAsia"/>
          <w:sz w:val="28"/>
          <w:szCs w:val="28"/>
        </w:rPr>
        <w:t>提出了如下要求。</w:t>
      </w:r>
    </w:p>
    <w:p>
      <w:pPr>
        <w:pStyle w:val="6"/>
        <w:spacing w:before="156" w:beforeLines="50" w:after="156" w:afterLines="50" w:line="360" w:lineRule="auto"/>
      </w:pPr>
      <w:bookmarkStart w:id="146" w:name="_Toc283743643"/>
      <w:r>
        <w:t>身份鉴别</w:t>
      </w:r>
      <w:bookmarkEnd w:id="146"/>
    </w:p>
    <w:p>
      <w:pPr>
        <w:ind w:firstLine="560"/>
        <w:rPr>
          <w:sz w:val="28"/>
          <w:szCs w:val="28"/>
        </w:rPr>
      </w:pPr>
      <w:r>
        <w:rPr>
          <w:sz w:val="28"/>
          <w:szCs w:val="28"/>
        </w:rPr>
        <w:t>（1）基本要求</w:t>
      </w:r>
    </w:p>
    <w:p>
      <w:pPr>
        <w:ind w:firstLine="560"/>
        <w:rPr>
          <w:sz w:val="28"/>
          <w:szCs w:val="28"/>
        </w:rPr>
      </w:pPr>
      <w:r>
        <w:rPr>
          <w:sz w:val="28"/>
          <w:szCs w:val="28"/>
        </w:rPr>
        <w:t xml:space="preserve">应对登录操作系统和数据库系统的用户进行身份标识和鉴别； </w:t>
      </w:r>
    </w:p>
    <w:p>
      <w:pPr>
        <w:ind w:firstLine="560"/>
        <w:rPr>
          <w:sz w:val="28"/>
          <w:szCs w:val="28"/>
        </w:rPr>
      </w:pPr>
      <w:r>
        <w:rPr>
          <w:sz w:val="28"/>
          <w:szCs w:val="28"/>
        </w:rPr>
        <w:t xml:space="preserve">操作系统和数据库系统管理用户身份标识应具有不易被冒用的特点，口令应有复杂度要求并定期更换； </w:t>
      </w:r>
    </w:p>
    <w:p>
      <w:pPr>
        <w:ind w:firstLine="560"/>
        <w:rPr>
          <w:sz w:val="28"/>
          <w:szCs w:val="28"/>
        </w:rPr>
      </w:pPr>
      <w:r>
        <w:rPr>
          <w:sz w:val="28"/>
          <w:szCs w:val="28"/>
        </w:rPr>
        <w:t xml:space="preserve">应启用登录失败处理功能，可采取结束会话、限制非法登录次数和自动退出等措施；当对服务器进行远程管理时，应采取必要措施，防止鉴别信息在网络传输过程中被窃听； </w:t>
      </w:r>
    </w:p>
    <w:p>
      <w:pPr>
        <w:ind w:firstLine="560"/>
        <w:rPr>
          <w:sz w:val="28"/>
          <w:szCs w:val="28"/>
        </w:rPr>
      </w:pPr>
      <w:r>
        <w:rPr>
          <w:sz w:val="28"/>
          <w:szCs w:val="28"/>
        </w:rPr>
        <w:t>应为操作系统和数据库系统的不同用户分配不同的用户名，确保用户名具有唯一性；应采用两种或两种以上组合的鉴别技术对管理用户进行身份鉴别。</w:t>
      </w:r>
    </w:p>
    <w:p>
      <w:pPr>
        <w:ind w:firstLine="560"/>
        <w:rPr>
          <w:sz w:val="28"/>
          <w:szCs w:val="28"/>
        </w:rPr>
      </w:pPr>
      <w:r>
        <w:rPr>
          <w:sz w:val="28"/>
          <w:szCs w:val="28"/>
        </w:rPr>
        <w:t>（2）实现方式</w:t>
      </w:r>
    </w:p>
    <w:p>
      <w:pPr>
        <w:ind w:firstLine="560"/>
        <w:rPr>
          <w:sz w:val="28"/>
          <w:szCs w:val="28"/>
        </w:rPr>
      </w:pPr>
      <w:r>
        <w:rPr>
          <w:sz w:val="28"/>
          <w:szCs w:val="28"/>
        </w:rPr>
        <w:t>通过内网、外网分离部署，使外部用户无法访问内网的核心数据。</w:t>
      </w:r>
    </w:p>
    <w:p>
      <w:pPr>
        <w:pStyle w:val="6"/>
        <w:spacing w:before="156" w:beforeLines="50" w:after="156" w:afterLines="50" w:line="360" w:lineRule="auto"/>
      </w:pPr>
      <w:bookmarkStart w:id="147" w:name="_Toc204333076"/>
      <w:bookmarkStart w:id="148" w:name="_Toc203307886"/>
      <w:bookmarkStart w:id="149" w:name="_Toc207513566"/>
      <w:bookmarkStart w:id="150" w:name="_Toc283743644"/>
      <w:bookmarkStart w:id="151" w:name="_Toc247972041"/>
      <w:r>
        <w:t>访问控制</w:t>
      </w:r>
      <w:bookmarkEnd w:id="147"/>
      <w:bookmarkEnd w:id="148"/>
      <w:bookmarkEnd w:id="149"/>
      <w:bookmarkEnd w:id="150"/>
      <w:bookmarkEnd w:id="151"/>
    </w:p>
    <w:p>
      <w:pPr>
        <w:ind w:firstLine="560"/>
        <w:rPr>
          <w:sz w:val="28"/>
          <w:szCs w:val="28"/>
        </w:rPr>
      </w:pPr>
      <w:r>
        <w:rPr>
          <w:sz w:val="28"/>
          <w:szCs w:val="28"/>
        </w:rPr>
        <w:t>（1）基本要求</w:t>
      </w:r>
    </w:p>
    <w:p>
      <w:pPr>
        <w:ind w:firstLine="560"/>
        <w:rPr>
          <w:sz w:val="28"/>
          <w:szCs w:val="28"/>
        </w:rPr>
      </w:pPr>
      <w:r>
        <w:rPr>
          <w:sz w:val="28"/>
          <w:szCs w:val="28"/>
        </w:rPr>
        <w:t xml:space="preserve">应提供访问控制功能控制用户组/用户对系统功能和用户数据的访问； </w:t>
      </w:r>
    </w:p>
    <w:p>
      <w:pPr>
        <w:ind w:firstLine="560"/>
        <w:rPr>
          <w:sz w:val="28"/>
          <w:szCs w:val="28"/>
        </w:rPr>
      </w:pPr>
      <w:r>
        <w:rPr>
          <w:sz w:val="28"/>
          <w:szCs w:val="28"/>
        </w:rPr>
        <w:t xml:space="preserve">应由授权主体配置访问控制策略，并严格限制默认用户的访问权限； </w:t>
      </w:r>
    </w:p>
    <w:p>
      <w:pPr>
        <w:ind w:firstLine="560"/>
        <w:rPr>
          <w:sz w:val="28"/>
          <w:szCs w:val="28"/>
        </w:rPr>
      </w:pPr>
      <w:r>
        <w:rPr>
          <w:sz w:val="28"/>
          <w:szCs w:val="28"/>
        </w:rPr>
        <w:t xml:space="preserve">应提供访问控制功能，依据安全策略控制用户对文件、数据库表等客体的访问； </w:t>
      </w:r>
    </w:p>
    <w:p>
      <w:pPr>
        <w:ind w:firstLine="560"/>
        <w:rPr>
          <w:sz w:val="28"/>
          <w:szCs w:val="28"/>
        </w:rPr>
      </w:pPr>
      <w:r>
        <w:rPr>
          <w:sz w:val="28"/>
          <w:szCs w:val="28"/>
        </w:rPr>
        <w:t xml:space="preserve">访问控制的覆盖范围应包括与资源访问相关的主体、客体及它们之间的操作； </w:t>
      </w:r>
    </w:p>
    <w:p>
      <w:pPr>
        <w:ind w:firstLine="560"/>
        <w:rPr>
          <w:sz w:val="28"/>
          <w:szCs w:val="28"/>
        </w:rPr>
      </w:pPr>
      <w:r>
        <w:rPr>
          <w:sz w:val="28"/>
          <w:szCs w:val="28"/>
        </w:rPr>
        <w:t xml:space="preserve">应授予不同帐户为完成各自承担任务所需的最小权限，并在它们之间形成相互制约的关系； </w:t>
      </w:r>
    </w:p>
    <w:p>
      <w:pPr>
        <w:ind w:firstLine="560"/>
        <w:rPr>
          <w:sz w:val="28"/>
          <w:szCs w:val="28"/>
        </w:rPr>
      </w:pPr>
      <w:r>
        <w:rPr>
          <w:sz w:val="28"/>
          <w:szCs w:val="28"/>
        </w:rPr>
        <w:t xml:space="preserve">应具有对重要信息资源设置敏感标记的功能； </w:t>
      </w:r>
    </w:p>
    <w:p>
      <w:pPr>
        <w:ind w:firstLine="560"/>
        <w:rPr>
          <w:sz w:val="28"/>
          <w:szCs w:val="28"/>
        </w:rPr>
      </w:pPr>
      <w:r>
        <w:rPr>
          <w:sz w:val="28"/>
          <w:szCs w:val="28"/>
        </w:rPr>
        <w:t>应依据安全策略严格控制用户对有敏感标记重要信息资源的操作。</w:t>
      </w:r>
    </w:p>
    <w:p>
      <w:pPr>
        <w:ind w:firstLine="560"/>
        <w:rPr>
          <w:sz w:val="28"/>
          <w:szCs w:val="28"/>
        </w:rPr>
      </w:pPr>
      <w:r>
        <w:rPr>
          <w:sz w:val="28"/>
          <w:szCs w:val="28"/>
        </w:rPr>
        <w:t>（2）实现方式</w:t>
      </w:r>
    </w:p>
    <w:p>
      <w:pPr>
        <w:ind w:firstLine="560"/>
        <w:rPr>
          <w:sz w:val="28"/>
          <w:szCs w:val="28"/>
        </w:rPr>
      </w:pPr>
      <w:r>
        <w:rPr>
          <w:sz w:val="28"/>
          <w:szCs w:val="28"/>
        </w:rPr>
        <w:t>通过集成统一的身份认证系统，并与应用系统自身访问控制权限配置相结合，实现该项技术要求。</w:t>
      </w:r>
    </w:p>
    <w:p>
      <w:pPr>
        <w:pStyle w:val="6"/>
        <w:spacing w:before="156" w:beforeLines="50" w:after="156" w:afterLines="50" w:line="360" w:lineRule="auto"/>
      </w:pPr>
      <w:bookmarkStart w:id="152" w:name="_Toc283743645"/>
      <w:r>
        <w:t>安全审计</w:t>
      </w:r>
      <w:bookmarkEnd w:id="152"/>
    </w:p>
    <w:p>
      <w:pPr>
        <w:ind w:firstLine="560"/>
        <w:rPr>
          <w:sz w:val="28"/>
          <w:szCs w:val="28"/>
        </w:rPr>
      </w:pPr>
      <w:r>
        <w:rPr>
          <w:sz w:val="28"/>
          <w:szCs w:val="28"/>
        </w:rPr>
        <w:t>（1）基本要求</w:t>
      </w:r>
    </w:p>
    <w:p>
      <w:pPr>
        <w:ind w:firstLine="560"/>
        <w:rPr>
          <w:sz w:val="28"/>
          <w:szCs w:val="28"/>
        </w:rPr>
      </w:pPr>
      <w:r>
        <w:rPr>
          <w:sz w:val="28"/>
          <w:szCs w:val="28"/>
        </w:rPr>
        <w:t>审计范围应覆盖到服务器和重要客户端上的每个操作系统用户和数据库用户；</w:t>
      </w:r>
    </w:p>
    <w:p>
      <w:pPr>
        <w:ind w:firstLine="560"/>
        <w:rPr>
          <w:sz w:val="28"/>
          <w:szCs w:val="28"/>
        </w:rPr>
      </w:pPr>
      <w:r>
        <w:rPr>
          <w:sz w:val="28"/>
          <w:szCs w:val="28"/>
        </w:rPr>
        <w:t>审计内容应包括重要用户行为、系统资源的异常使用和重要系统命令的使用等系统内重要的安全相关事件；</w:t>
      </w:r>
    </w:p>
    <w:p>
      <w:pPr>
        <w:ind w:firstLine="560"/>
        <w:rPr>
          <w:sz w:val="28"/>
          <w:szCs w:val="28"/>
        </w:rPr>
      </w:pPr>
      <w:r>
        <w:rPr>
          <w:sz w:val="28"/>
          <w:szCs w:val="28"/>
        </w:rPr>
        <w:t>审计记录应包括事件的日期、时间、类型、主体标识、客体标识和结果等；</w:t>
      </w:r>
    </w:p>
    <w:p>
      <w:pPr>
        <w:ind w:firstLine="560"/>
        <w:rPr>
          <w:sz w:val="28"/>
          <w:szCs w:val="28"/>
        </w:rPr>
      </w:pPr>
      <w:r>
        <w:rPr>
          <w:sz w:val="28"/>
          <w:szCs w:val="28"/>
        </w:rPr>
        <w:t>应保护审计记录，避免受到未预期的删除、修改或覆盖等；</w:t>
      </w:r>
    </w:p>
    <w:p>
      <w:pPr>
        <w:ind w:firstLine="560"/>
        <w:rPr>
          <w:sz w:val="28"/>
          <w:szCs w:val="28"/>
        </w:rPr>
      </w:pPr>
      <w:r>
        <w:rPr>
          <w:sz w:val="28"/>
          <w:szCs w:val="28"/>
        </w:rPr>
        <w:t>应能够根据记录数据进行分析，并生成审计报表；</w:t>
      </w:r>
    </w:p>
    <w:p>
      <w:pPr>
        <w:ind w:firstLine="560"/>
        <w:rPr>
          <w:sz w:val="28"/>
          <w:szCs w:val="28"/>
        </w:rPr>
      </w:pPr>
      <w:r>
        <w:rPr>
          <w:sz w:val="28"/>
          <w:szCs w:val="28"/>
        </w:rPr>
        <w:t>应保护审计进程，避免受到未预期的中断；</w:t>
      </w:r>
    </w:p>
    <w:p>
      <w:pPr>
        <w:ind w:firstLine="560"/>
        <w:rPr>
          <w:sz w:val="28"/>
          <w:szCs w:val="28"/>
        </w:rPr>
      </w:pPr>
      <w:r>
        <w:rPr>
          <w:sz w:val="28"/>
          <w:szCs w:val="28"/>
        </w:rPr>
        <w:t>（2）实现方式</w:t>
      </w:r>
    </w:p>
    <w:p>
      <w:pPr>
        <w:ind w:firstLine="560"/>
        <w:rPr>
          <w:sz w:val="28"/>
          <w:szCs w:val="28"/>
        </w:rPr>
      </w:pPr>
      <w:r>
        <w:rPr>
          <w:sz w:val="28"/>
          <w:szCs w:val="28"/>
        </w:rPr>
        <w:t>应当通过部署网络与数据库审计产品，并结合集中安全管理平台的审计功能，实现主机安全审计要求。</w:t>
      </w:r>
    </w:p>
    <w:p>
      <w:pPr>
        <w:pStyle w:val="6"/>
        <w:spacing w:before="156" w:beforeLines="50" w:after="156" w:afterLines="50" w:line="360" w:lineRule="auto"/>
      </w:pPr>
      <w:bookmarkStart w:id="153" w:name="_Toc283743646"/>
      <w:r>
        <w:t>入侵检测</w:t>
      </w:r>
      <w:bookmarkEnd w:id="153"/>
    </w:p>
    <w:p>
      <w:pPr>
        <w:ind w:firstLine="560"/>
        <w:rPr>
          <w:sz w:val="28"/>
          <w:szCs w:val="28"/>
        </w:rPr>
      </w:pPr>
      <w:r>
        <w:rPr>
          <w:sz w:val="28"/>
          <w:szCs w:val="28"/>
        </w:rPr>
        <w:t>（1）基本要求</w:t>
      </w:r>
    </w:p>
    <w:p>
      <w:pPr>
        <w:ind w:firstLine="560"/>
        <w:rPr>
          <w:sz w:val="28"/>
          <w:szCs w:val="28"/>
        </w:rPr>
      </w:pPr>
      <w:r>
        <w:rPr>
          <w:sz w:val="28"/>
          <w:szCs w:val="28"/>
        </w:rPr>
        <w:t xml:space="preserve">操作系统应遵循最小安装的原则，仅安装需要的组件和应用程序，并通过设置升级服务器等方式保持系统补丁及时得到更新； </w:t>
      </w:r>
    </w:p>
    <w:p>
      <w:pPr>
        <w:ind w:firstLine="560"/>
        <w:rPr>
          <w:sz w:val="28"/>
          <w:szCs w:val="28"/>
        </w:rPr>
      </w:pPr>
      <w:r>
        <w:rPr>
          <w:sz w:val="28"/>
          <w:szCs w:val="28"/>
        </w:rPr>
        <w:t xml:space="preserve">应能够检测到对重要服务器进行入侵的行为，能够记录入侵的源IP、攻击的类型、攻击的目的、攻击的时间，并在发生严重入侵事件时提供报警； </w:t>
      </w:r>
    </w:p>
    <w:p>
      <w:pPr>
        <w:ind w:firstLine="560"/>
        <w:rPr>
          <w:sz w:val="28"/>
          <w:szCs w:val="28"/>
        </w:rPr>
      </w:pPr>
      <w:r>
        <w:rPr>
          <w:sz w:val="28"/>
          <w:szCs w:val="28"/>
        </w:rPr>
        <w:t>应能够对重要程序的完整性进行检测，并在检测到完整性受到破坏后具有恢复的措施。</w:t>
      </w:r>
    </w:p>
    <w:p>
      <w:pPr>
        <w:ind w:firstLine="560"/>
        <w:rPr>
          <w:sz w:val="28"/>
          <w:szCs w:val="28"/>
        </w:rPr>
      </w:pPr>
      <w:r>
        <w:rPr>
          <w:sz w:val="28"/>
          <w:szCs w:val="28"/>
        </w:rPr>
        <w:t>（2）实现方式</w:t>
      </w:r>
    </w:p>
    <w:p>
      <w:pPr>
        <w:ind w:firstLine="560"/>
        <w:rPr>
          <w:sz w:val="28"/>
          <w:szCs w:val="28"/>
        </w:rPr>
      </w:pPr>
      <w:r>
        <w:rPr>
          <w:sz w:val="28"/>
          <w:szCs w:val="28"/>
        </w:rPr>
        <w:t>通过部署配置入侵检测系统实现。</w:t>
      </w:r>
    </w:p>
    <w:p>
      <w:pPr>
        <w:pStyle w:val="6"/>
        <w:spacing w:before="156" w:beforeLines="50" w:after="156" w:afterLines="50" w:line="360" w:lineRule="auto"/>
      </w:pPr>
      <w:bookmarkStart w:id="154" w:name="_Toc283743647"/>
      <w:r>
        <w:t>恶意代码防范</w:t>
      </w:r>
      <w:bookmarkEnd w:id="154"/>
      <w:bookmarkStart w:id="155" w:name="_Toc247972045"/>
      <w:bookmarkStart w:id="156" w:name="_Toc207513570"/>
      <w:bookmarkStart w:id="157" w:name="_Toc204333080"/>
      <w:bookmarkStart w:id="158" w:name="_Toc203307890"/>
    </w:p>
    <w:p>
      <w:pPr>
        <w:ind w:firstLine="560"/>
        <w:rPr>
          <w:sz w:val="28"/>
          <w:szCs w:val="28"/>
        </w:rPr>
      </w:pPr>
      <w:r>
        <w:rPr>
          <w:sz w:val="28"/>
          <w:szCs w:val="28"/>
        </w:rPr>
        <w:t>（1）基本要求</w:t>
      </w:r>
    </w:p>
    <w:p>
      <w:pPr>
        <w:ind w:firstLine="560"/>
        <w:rPr>
          <w:sz w:val="28"/>
          <w:szCs w:val="28"/>
        </w:rPr>
      </w:pPr>
      <w:r>
        <w:rPr>
          <w:sz w:val="28"/>
          <w:szCs w:val="28"/>
        </w:rPr>
        <w:t>应安装防恶意代码软件，并及时更新防恶意代码软件版本和恶意代码库；</w:t>
      </w:r>
    </w:p>
    <w:p>
      <w:pPr>
        <w:ind w:firstLine="560"/>
        <w:rPr>
          <w:sz w:val="28"/>
          <w:szCs w:val="28"/>
        </w:rPr>
      </w:pPr>
      <w:r>
        <w:rPr>
          <w:sz w:val="28"/>
          <w:szCs w:val="28"/>
        </w:rPr>
        <w:t>主机防恶意代码产品应具有与网络防恶意代码产品不同的恶意代码库；</w:t>
      </w:r>
    </w:p>
    <w:p>
      <w:pPr>
        <w:ind w:firstLine="560"/>
        <w:rPr>
          <w:sz w:val="28"/>
          <w:szCs w:val="28"/>
        </w:rPr>
      </w:pPr>
      <w:r>
        <w:rPr>
          <w:sz w:val="28"/>
          <w:szCs w:val="28"/>
        </w:rPr>
        <w:t>应支持防恶意代码的统一管理。</w:t>
      </w:r>
    </w:p>
    <w:p>
      <w:pPr>
        <w:ind w:firstLine="560"/>
        <w:rPr>
          <w:sz w:val="28"/>
          <w:szCs w:val="28"/>
        </w:rPr>
      </w:pPr>
      <w:r>
        <w:rPr>
          <w:sz w:val="28"/>
          <w:szCs w:val="28"/>
        </w:rPr>
        <w:t>（2）实现方式</w:t>
      </w:r>
    </w:p>
    <w:p>
      <w:pPr>
        <w:ind w:firstLine="560"/>
        <w:rPr>
          <w:sz w:val="28"/>
          <w:szCs w:val="28"/>
        </w:rPr>
      </w:pPr>
      <w:r>
        <w:rPr>
          <w:sz w:val="28"/>
          <w:szCs w:val="28"/>
        </w:rPr>
        <w:t>通过部署主机与网络防恶意代码产品，即防病毒系统和边界病毒防护产品实现。</w:t>
      </w:r>
    </w:p>
    <w:p>
      <w:pPr>
        <w:pStyle w:val="6"/>
        <w:spacing w:before="156" w:beforeLines="50" w:after="156" w:afterLines="50" w:line="360" w:lineRule="auto"/>
      </w:pPr>
      <w:bookmarkStart w:id="159" w:name="_Toc283743648"/>
      <w:r>
        <w:t>剩余信息保护和资源控制</w:t>
      </w:r>
      <w:bookmarkEnd w:id="155"/>
      <w:bookmarkEnd w:id="156"/>
      <w:bookmarkEnd w:id="157"/>
      <w:bookmarkEnd w:id="158"/>
      <w:bookmarkEnd w:id="159"/>
    </w:p>
    <w:p>
      <w:pPr>
        <w:ind w:firstLine="560"/>
        <w:rPr>
          <w:sz w:val="28"/>
          <w:szCs w:val="28"/>
        </w:rPr>
      </w:pPr>
      <w:r>
        <w:rPr>
          <w:sz w:val="28"/>
          <w:szCs w:val="28"/>
        </w:rPr>
        <w:t>（1）基本要求</w:t>
      </w:r>
    </w:p>
    <w:p>
      <w:pPr>
        <w:ind w:firstLine="560"/>
        <w:rPr>
          <w:sz w:val="28"/>
          <w:szCs w:val="28"/>
        </w:rPr>
      </w:pPr>
      <w:r>
        <w:rPr>
          <w:sz w:val="28"/>
          <w:szCs w:val="28"/>
        </w:rPr>
        <w:t>应通过设定终端接入方式、网络地址范围等条件限制终端登录；</w:t>
      </w:r>
    </w:p>
    <w:p>
      <w:pPr>
        <w:ind w:firstLine="560"/>
        <w:rPr>
          <w:sz w:val="28"/>
          <w:szCs w:val="28"/>
        </w:rPr>
      </w:pPr>
      <w:r>
        <w:rPr>
          <w:sz w:val="28"/>
          <w:szCs w:val="28"/>
        </w:rPr>
        <w:t>应根据安全策略设置登录终端的操作超时锁定；</w:t>
      </w:r>
    </w:p>
    <w:p>
      <w:pPr>
        <w:ind w:firstLine="560"/>
        <w:rPr>
          <w:sz w:val="28"/>
          <w:szCs w:val="28"/>
        </w:rPr>
      </w:pPr>
      <w:r>
        <w:rPr>
          <w:sz w:val="28"/>
          <w:szCs w:val="28"/>
        </w:rPr>
        <w:t>应能够对一个访问帐户或一个请求进程占用的资源分配最大限额和最小限额；</w:t>
      </w:r>
    </w:p>
    <w:p>
      <w:pPr>
        <w:ind w:firstLine="560"/>
        <w:rPr>
          <w:sz w:val="28"/>
          <w:szCs w:val="28"/>
        </w:rPr>
      </w:pPr>
      <w:r>
        <w:rPr>
          <w:sz w:val="28"/>
          <w:szCs w:val="28"/>
        </w:rPr>
        <w:t>应对重要服务器进行监视，包括监视服务器的CPU、硬盘、内存、网络等资源的使用情况；</w:t>
      </w:r>
    </w:p>
    <w:p>
      <w:pPr>
        <w:ind w:firstLine="560"/>
        <w:rPr>
          <w:sz w:val="28"/>
          <w:szCs w:val="28"/>
        </w:rPr>
      </w:pPr>
      <w:r>
        <w:rPr>
          <w:sz w:val="28"/>
          <w:szCs w:val="28"/>
        </w:rPr>
        <w:t>应能够对系统的服务水平降低到预先规定的最小值进行检测和报警；</w:t>
      </w:r>
    </w:p>
    <w:p>
      <w:pPr>
        <w:ind w:firstLine="560"/>
        <w:rPr>
          <w:sz w:val="28"/>
          <w:szCs w:val="28"/>
        </w:rPr>
      </w:pPr>
      <w:r>
        <w:rPr>
          <w:sz w:val="28"/>
          <w:szCs w:val="28"/>
        </w:rPr>
        <w:t>应保证操作系统和数据库系统用户的鉴别信息所在的存储空间，被释放或再分配给其他用户前得到完全清除，无论这些信息是存放在硬盘上还是在内存中；</w:t>
      </w:r>
    </w:p>
    <w:p>
      <w:pPr>
        <w:ind w:firstLine="560"/>
        <w:rPr>
          <w:sz w:val="28"/>
          <w:szCs w:val="28"/>
        </w:rPr>
      </w:pPr>
      <w:r>
        <w:rPr>
          <w:sz w:val="28"/>
          <w:szCs w:val="28"/>
        </w:rPr>
        <w:t>应确保系统内的文件、目录和数据库记录等资源所在的存储空间，被释放或重新分配给其他用户前得到完全清除；</w:t>
      </w:r>
    </w:p>
    <w:p>
      <w:pPr>
        <w:ind w:firstLine="560"/>
        <w:rPr>
          <w:sz w:val="28"/>
          <w:szCs w:val="28"/>
        </w:rPr>
      </w:pPr>
      <w:r>
        <w:rPr>
          <w:sz w:val="28"/>
          <w:szCs w:val="28"/>
        </w:rPr>
        <w:t>应限制单个用户对系统资源的最大或最小使用限度。</w:t>
      </w:r>
    </w:p>
    <w:p>
      <w:pPr>
        <w:ind w:firstLine="560"/>
        <w:rPr>
          <w:sz w:val="28"/>
          <w:szCs w:val="28"/>
        </w:rPr>
      </w:pPr>
      <w:r>
        <w:rPr>
          <w:sz w:val="28"/>
          <w:szCs w:val="28"/>
        </w:rPr>
        <w:t>（2）实现方式</w:t>
      </w:r>
    </w:p>
    <w:p>
      <w:pPr>
        <w:ind w:firstLine="560"/>
        <w:rPr>
          <w:sz w:val="28"/>
          <w:szCs w:val="28"/>
        </w:rPr>
      </w:pPr>
      <w:r>
        <w:rPr>
          <w:sz w:val="28"/>
          <w:szCs w:val="28"/>
        </w:rPr>
        <w:t>通过对主机操作系统和数据库进行必要的安全配置和安全加固进行剩余信息保护；</w:t>
      </w:r>
    </w:p>
    <w:p>
      <w:pPr>
        <w:ind w:firstLine="560"/>
        <w:rPr>
          <w:sz w:val="28"/>
          <w:szCs w:val="28"/>
        </w:rPr>
      </w:pPr>
      <w:r>
        <w:rPr>
          <w:sz w:val="28"/>
          <w:szCs w:val="28"/>
        </w:rPr>
        <w:t>通过对主机操作系统和数据库进行安全监控实现资源控制。</w:t>
      </w:r>
    </w:p>
    <w:bookmarkEnd w:id="96"/>
    <w:bookmarkEnd w:id="97"/>
    <w:bookmarkEnd w:id="98"/>
    <w:bookmarkEnd w:id="99"/>
    <w:p>
      <w:pPr>
        <w:pStyle w:val="4"/>
      </w:pPr>
      <w:bookmarkStart w:id="160" w:name="_Toc97654074"/>
      <w:r>
        <w:t>运维及其它系统建设方案</w:t>
      </w:r>
      <w:bookmarkEnd w:id="160"/>
    </w:p>
    <w:p>
      <w:pPr>
        <w:spacing w:line="560" w:lineRule="exact"/>
        <w:ind w:firstLine="560"/>
        <w:rPr>
          <w:sz w:val="28"/>
          <w:szCs w:val="28"/>
        </w:rPr>
      </w:pPr>
      <w:r>
        <w:rPr>
          <w:sz w:val="28"/>
          <w:szCs w:val="28"/>
        </w:rPr>
        <w:t>本项目包含合同签订后一年期间的免费维护、系统更新、运维保障内容，由系统厂家提供。</w:t>
      </w:r>
    </w:p>
    <w:p>
      <w:pPr>
        <w:ind w:firstLine="560"/>
        <w:rPr>
          <w:sz w:val="28"/>
          <w:szCs w:val="28"/>
        </w:rPr>
      </w:pPr>
      <w:r>
        <w:rPr>
          <w:sz w:val="28"/>
          <w:szCs w:val="28"/>
        </w:rPr>
        <w:t>项目的运维内容主要包括业务运行咨询、数据维护、软件平台维护。</w:t>
      </w:r>
    </w:p>
    <w:p>
      <w:pPr>
        <w:ind w:firstLine="560"/>
        <w:rPr>
          <w:sz w:val="28"/>
          <w:szCs w:val="28"/>
        </w:rPr>
      </w:pPr>
      <w:r>
        <w:rPr>
          <w:sz w:val="28"/>
          <w:szCs w:val="28"/>
        </w:rPr>
        <w:t>业务运行咨询主要指使用本应用系统的各种使用诉求。</w:t>
      </w:r>
    </w:p>
    <w:p>
      <w:pPr>
        <w:ind w:firstLine="560"/>
        <w:rPr>
          <w:sz w:val="28"/>
          <w:szCs w:val="28"/>
        </w:rPr>
      </w:pPr>
      <w:r>
        <w:rPr>
          <w:sz w:val="28"/>
          <w:szCs w:val="28"/>
        </w:rPr>
        <w:t>数据维护主要指危废监管平台与其他应用系统之间的数据交换，确保不同应用间数据的同步和交换通道的畅通。</w:t>
      </w:r>
    </w:p>
    <w:p>
      <w:pPr>
        <w:ind w:firstLine="560"/>
        <w:rPr>
          <w:sz w:val="28"/>
          <w:szCs w:val="28"/>
        </w:rPr>
      </w:pPr>
      <w:r>
        <w:rPr>
          <w:sz w:val="28"/>
          <w:szCs w:val="28"/>
        </w:rPr>
        <w:t>软件维护包括危废监管平台在运行期发现的各种与需求不相符的问题的修改等改正性维护；在运行过程中因为新的软、硬件配置或数据格式变化而带来应用软件的修改等适应性维护；以及因为在软件使用过程中，提出新的功能与性能要求而进行的应用软件修改的完善性维护。</w:t>
      </w:r>
    </w:p>
    <w:p>
      <w:pPr>
        <w:pStyle w:val="5"/>
      </w:pPr>
      <w:r>
        <w:t>运维机构</w:t>
      </w:r>
    </w:p>
    <w:p>
      <w:pPr>
        <w:ind w:firstLine="560"/>
        <w:rPr>
          <w:sz w:val="28"/>
          <w:szCs w:val="28"/>
        </w:rPr>
      </w:pPr>
      <w:r>
        <w:rPr>
          <w:sz w:val="28"/>
          <w:szCs w:val="28"/>
        </w:rPr>
        <w:t>技术保障工作由保定市环境信息中心负责。</w:t>
      </w:r>
    </w:p>
    <w:p>
      <w:pPr>
        <w:pStyle w:val="5"/>
      </w:pPr>
      <w:r>
        <w:t>运行维护管理制度</w:t>
      </w:r>
    </w:p>
    <w:p>
      <w:pPr>
        <w:ind w:firstLine="560"/>
        <w:rPr>
          <w:sz w:val="28"/>
          <w:szCs w:val="28"/>
        </w:rPr>
      </w:pPr>
      <w:r>
        <w:rPr>
          <w:sz w:val="28"/>
          <w:szCs w:val="28"/>
        </w:rPr>
        <w:t>本项目建成后的运行管理实行项目建设单位负责制。确立项目运行维护机构，制定和完善相应的管理制度，加强云支撑平台、业务系统、数据交换的日常运行和维护管理，落实运行维护费用。对建成项目进行信息安全风险评估，检验其网络和信息系统对安全环境变化的适应性及安全措施的有效性，保障信息安全目标的实现。</w:t>
      </w:r>
    </w:p>
    <w:p>
      <w:pPr>
        <w:ind w:firstLine="560"/>
        <w:rPr>
          <w:sz w:val="28"/>
          <w:szCs w:val="28"/>
        </w:rPr>
      </w:pPr>
      <w:r>
        <w:rPr>
          <w:sz w:val="28"/>
          <w:szCs w:val="28"/>
        </w:rPr>
        <w:t>为确保系统的正常运行，必须建立从系统到资金到人员等各方面的管理规定，作为确保系统正常运行的软环境，至少应包括下列内容：</w:t>
      </w:r>
    </w:p>
    <w:p>
      <w:pPr>
        <w:ind w:firstLine="560"/>
        <w:rPr>
          <w:sz w:val="28"/>
          <w:szCs w:val="28"/>
        </w:rPr>
      </w:pPr>
      <w:r>
        <w:rPr>
          <w:sz w:val="28"/>
          <w:szCs w:val="28"/>
        </w:rPr>
        <w:t>确保数据采集渠道和建立数据管理制度，确保数据来源稳定，接收有固定人员，审核有规定程序，录入有规定时间，使用有安全保障；建立系统数据备份管理制度，实行数据定期备份，确保系统破坏后能立即得到恢复；建立系统维护制度，确保系统操作正确，监控非法操作行为，避免系统受到不应该的攻击；建立系统应急预案，确保系统在紧急情况下保持业务连续性；建立维护资金保障制度，确保一定的维护投入，促进系统的更新、升级。</w:t>
      </w:r>
    </w:p>
    <w:p>
      <w:pPr>
        <w:pStyle w:val="4"/>
      </w:pPr>
      <w:bookmarkStart w:id="161" w:name="_Toc97654075"/>
      <w:r>
        <w:t>系统软硬件配置及部署方案</w:t>
      </w:r>
      <w:bookmarkEnd w:id="161"/>
    </w:p>
    <w:p>
      <w:pPr>
        <w:spacing w:line="560" w:lineRule="exact"/>
        <w:ind w:firstLine="560"/>
        <w:rPr>
          <w:sz w:val="28"/>
          <w:szCs w:val="28"/>
        </w:rPr>
      </w:pPr>
      <w:r>
        <w:rPr>
          <w:sz w:val="28"/>
          <w:szCs w:val="28"/>
        </w:rPr>
        <w:t>按照市里集约化建设原则，系统部署在市里统一提供的政务云平台。</w:t>
      </w:r>
    </w:p>
    <w:p>
      <w:pPr>
        <w:spacing w:line="560" w:lineRule="exact"/>
        <w:ind w:firstLine="560"/>
        <w:rPr>
          <w:sz w:val="28"/>
          <w:szCs w:val="28"/>
        </w:rPr>
      </w:pPr>
      <w:r>
        <w:rPr>
          <w:sz w:val="28"/>
          <w:szCs w:val="28"/>
        </w:rPr>
        <w:t>根据平台建设内容评估，考虑到性能响应，在 2台应用服务器同时部署应用服务作为负载，当用户访问量过大时，2台服务器平均分配。</w:t>
      </w:r>
    </w:p>
    <w:p>
      <w:pPr>
        <w:ind w:firstLine="560"/>
        <w:rPr>
          <w:sz w:val="28"/>
          <w:szCs w:val="28"/>
        </w:rPr>
      </w:pPr>
      <w:r>
        <w:rPr>
          <w:sz w:val="28"/>
          <w:szCs w:val="28"/>
        </w:rPr>
        <w:t>申请政务云资源如下：</w:t>
      </w:r>
    </w:p>
    <w:tbl>
      <w:tblPr>
        <w:tblStyle w:val="77"/>
        <w:tblW w:w="0" w:type="auto"/>
        <w:tblInd w:w="0" w:type="dxa"/>
        <w:tblLayout w:type="autofit"/>
        <w:tblCellMar>
          <w:top w:w="0" w:type="dxa"/>
          <w:left w:w="108" w:type="dxa"/>
          <w:bottom w:w="0" w:type="dxa"/>
          <w:right w:w="108" w:type="dxa"/>
        </w:tblCellMar>
      </w:tblPr>
      <w:tblGrid>
        <w:gridCol w:w="2263"/>
        <w:gridCol w:w="851"/>
        <w:gridCol w:w="2693"/>
        <w:gridCol w:w="985"/>
        <w:gridCol w:w="1081"/>
        <w:gridCol w:w="1369"/>
      </w:tblGrid>
      <w:tr>
        <w:trPr>
          <w:trHeight w:val="675" w:hRule="atLeast"/>
        </w:trPr>
        <w:tc>
          <w:tcPr>
            <w:tcW w:w="226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服务器名称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数量</w:t>
            </w:r>
          </w:p>
        </w:tc>
        <w:tc>
          <w:tcPr>
            <w:tcW w:w="2693"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操作系统要求</w:t>
            </w:r>
          </w:p>
        </w:tc>
        <w:tc>
          <w:tcPr>
            <w:tcW w:w="985"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CPU数量</w:t>
            </w:r>
          </w:p>
        </w:tc>
        <w:tc>
          <w:tcPr>
            <w:tcW w:w="0" w:type="auto"/>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内存(GB)</w:t>
            </w:r>
          </w:p>
        </w:tc>
        <w:tc>
          <w:tcPr>
            <w:tcW w:w="0" w:type="auto"/>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磁盘空间(GB)</w:t>
            </w:r>
          </w:p>
        </w:tc>
      </w:tr>
      <w:tr>
        <w:trPr>
          <w:trHeight w:val="323" w:hRule="atLeast"/>
        </w:trPr>
        <w:tc>
          <w:tcPr>
            <w:tcW w:w="2263" w:type="dxa"/>
            <w:tcBorders>
              <w:top w:val="nil"/>
              <w:left w:val="single" w:color="auto" w:sz="4" w:space="0"/>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应用服务器</w:t>
            </w:r>
          </w:p>
        </w:tc>
        <w:tc>
          <w:tcPr>
            <w:tcW w:w="851"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2</w:t>
            </w:r>
          </w:p>
        </w:tc>
        <w:tc>
          <w:tcPr>
            <w:tcW w:w="2693"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CentOS7</w:t>
            </w:r>
          </w:p>
        </w:tc>
        <w:tc>
          <w:tcPr>
            <w:tcW w:w="985"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8</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16</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200</w:t>
            </w:r>
          </w:p>
        </w:tc>
      </w:tr>
      <w:tr>
        <w:trPr>
          <w:trHeight w:val="323" w:hRule="atLeast"/>
        </w:trPr>
        <w:tc>
          <w:tcPr>
            <w:tcW w:w="2263" w:type="dxa"/>
            <w:tcBorders>
              <w:top w:val="nil"/>
              <w:left w:val="single" w:color="auto" w:sz="4" w:space="0"/>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缓存数据库服务器</w:t>
            </w:r>
          </w:p>
        </w:tc>
        <w:tc>
          <w:tcPr>
            <w:tcW w:w="851"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1</w:t>
            </w:r>
          </w:p>
        </w:tc>
        <w:tc>
          <w:tcPr>
            <w:tcW w:w="2693"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CentOS7</w:t>
            </w:r>
          </w:p>
        </w:tc>
        <w:tc>
          <w:tcPr>
            <w:tcW w:w="985"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8</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16</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200</w:t>
            </w:r>
          </w:p>
        </w:tc>
      </w:tr>
      <w:tr>
        <w:trPr>
          <w:trHeight w:val="323" w:hRule="atLeast"/>
        </w:trPr>
        <w:tc>
          <w:tcPr>
            <w:tcW w:w="2263" w:type="dxa"/>
            <w:tcBorders>
              <w:top w:val="nil"/>
              <w:left w:val="single" w:color="auto" w:sz="4" w:space="0"/>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数据库服务器</w:t>
            </w:r>
          </w:p>
        </w:tc>
        <w:tc>
          <w:tcPr>
            <w:tcW w:w="851"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2</w:t>
            </w:r>
          </w:p>
        </w:tc>
        <w:tc>
          <w:tcPr>
            <w:tcW w:w="2693"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Windows Server 2012 Standard X64 Edition</w:t>
            </w:r>
          </w:p>
        </w:tc>
        <w:tc>
          <w:tcPr>
            <w:tcW w:w="98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32</w:t>
            </w:r>
          </w:p>
        </w:tc>
        <w:tc>
          <w:tcPr>
            <w:tcW w:w="0" w:type="auto"/>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64</w:t>
            </w:r>
          </w:p>
        </w:tc>
        <w:tc>
          <w:tcPr>
            <w:tcW w:w="0" w:type="auto"/>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1024</w:t>
            </w:r>
          </w:p>
        </w:tc>
      </w:tr>
    </w:tbl>
    <w:p>
      <w:pPr>
        <w:spacing w:line="560" w:lineRule="exact"/>
        <w:ind w:firstLine="560"/>
        <w:rPr>
          <w:sz w:val="28"/>
          <w:szCs w:val="28"/>
        </w:rPr>
      </w:pPr>
    </w:p>
    <w:p>
      <w:pPr>
        <w:spacing w:line="560" w:lineRule="exact"/>
        <w:ind w:firstLine="560"/>
        <w:rPr>
          <w:sz w:val="28"/>
          <w:szCs w:val="28"/>
        </w:rPr>
      </w:pPr>
      <w:r>
        <w:rPr>
          <w:sz w:val="28"/>
          <w:szCs w:val="28"/>
        </w:rPr>
        <w:t>根据《保定市政务云服务平台云资源申请表》，申请政务云服务如下：</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9"/>
        <w:gridCol w:w="5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5" w:hRule="atLeast"/>
        </w:trPr>
        <w:tc>
          <w:tcPr>
            <w:tcW w:w="1909" w:type="pct"/>
            <w:shd w:val="clear" w:color="auto" w:fill="auto"/>
            <w:vAlign w:val="center"/>
          </w:tcPr>
          <w:p>
            <w:pPr>
              <w:ind w:firstLine="0" w:firstLineChars="0"/>
              <w:jc w:val="center"/>
              <w:rPr>
                <w:sz w:val="28"/>
                <w:szCs w:val="28"/>
              </w:rPr>
            </w:pPr>
            <w:r>
              <w:rPr>
                <w:sz w:val="28"/>
                <w:szCs w:val="28"/>
              </w:rPr>
              <w:t>申请业务类型</w:t>
            </w:r>
          </w:p>
        </w:tc>
        <w:tc>
          <w:tcPr>
            <w:tcW w:w="3091" w:type="pct"/>
            <w:shd w:val="clear" w:color="auto" w:fill="auto"/>
            <w:vAlign w:val="center"/>
          </w:tcPr>
          <w:p>
            <w:pPr>
              <w:ind w:firstLine="0" w:firstLineChars="0"/>
              <w:jc w:val="center"/>
              <w:rPr>
                <w:sz w:val="28"/>
                <w:szCs w:val="28"/>
              </w:rPr>
            </w:pPr>
            <w:r>
              <w:rPr>
                <w:sz w:val="28"/>
                <w:szCs w:val="28"/>
              </w:rPr>
              <w:t>操作系统要求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一般云服务</w:t>
            </w:r>
          </w:p>
        </w:tc>
        <w:tc>
          <w:tcPr>
            <w:tcW w:w="3091" w:type="pct"/>
            <w:shd w:val="clear" w:color="000000" w:fill="FFFFFF"/>
            <w:vAlign w:val="center"/>
          </w:tcPr>
          <w:p>
            <w:pPr>
              <w:pStyle w:val="125"/>
              <w:numPr>
                <w:ilvl w:val="0"/>
                <w:numId w:val="36"/>
              </w:numPr>
              <w:ind w:firstLineChars="0"/>
              <w:jc w:val="left"/>
              <w:rPr>
                <w:sz w:val="28"/>
                <w:szCs w:val="28"/>
              </w:rPr>
            </w:pPr>
            <w:r>
              <w:rPr>
                <w:sz w:val="28"/>
                <w:szCs w:val="28"/>
              </w:rPr>
              <w:t>云服务器</w:t>
            </w:r>
          </w:p>
          <w:p>
            <w:pPr>
              <w:pStyle w:val="125"/>
              <w:numPr>
                <w:ilvl w:val="0"/>
                <w:numId w:val="36"/>
              </w:numPr>
              <w:ind w:firstLineChars="0"/>
              <w:jc w:val="left"/>
              <w:rPr>
                <w:sz w:val="28"/>
                <w:szCs w:val="28"/>
              </w:rPr>
            </w:pPr>
            <w:r>
              <w:rPr>
                <w:sz w:val="28"/>
                <w:szCs w:val="28"/>
              </w:rPr>
              <w:t>云存储</w:t>
            </w:r>
          </w:p>
          <w:p>
            <w:pPr>
              <w:pStyle w:val="125"/>
              <w:numPr>
                <w:ilvl w:val="0"/>
                <w:numId w:val="36"/>
              </w:numPr>
              <w:ind w:firstLineChars="0"/>
              <w:jc w:val="left"/>
              <w:rPr>
                <w:sz w:val="28"/>
                <w:szCs w:val="28"/>
              </w:rPr>
            </w:pPr>
            <w:r>
              <w:rPr>
                <w:sz w:val="28"/>
                <w:szCs w:val="28"/>
              </w:rPr>
              <w:t>云备份</w:t>
            </w:r>
          </w:p>
          <w:p>
            <w:pPr>
              <w:pStyle w:val="125"/>
              <w:numPr>
                <w:ilvl w:val="0"/>
                <w:numId w:val="36"/>
              </w:numPr>
              <w:ind w:firstLineChars="0"/>
              <w:jc w:val="left"/>
              <w:rPr>
                <w:sz w:val="28"/>
                <w:szCs w:val="28"/>
              </w:rPr>
            </w:pPr>
            <w:r>
              <w:rPr>
                <w:sz w:val="28"/>
                <w:szCs w:val="28"/>
              </w:rPr>
              <w:t>操作系统</w:t>
            </w:r>
          </w:p>
          <w:p>
            <w:pPr>
              <w:pStyle w:val="125"/>
              <w:numPr>
                <w:ilvl w:val="0"/>
                <w:numId w:val="36"/>
              </w:numPr>
              <w:ind w:firstLineChars="0"/>
              <w:jc w:val="left"/>
              <w:rPr>
                <w:sz w:val="28"/>
                <w:szCs w:val="28"/>
              </w:rPr>
            </w:pPr>
            <w:r>
              <w:rPr>
                <w:sz w:val="28"/>
                <w:szCs w:val="28"/>
              </w:rPr>
              <w:t>数据库系统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网络接入</w:t>
            </w:r>
          </w:p>
        </w:tc>
        <w:tc>
          <w:tcPr>
            <w:tcW w:w="3091" w:type="pct"/>
            <w:shd w:val="clear" w:color="000000" w:fill="FFFFFF"/>
            <w:vAlign w:val="center"/>
          </w:tcPr>
          <w:p>
            <w:pPr>
              <w:pStyle w:val="125"/>
              <w:numPr>
                <w:ilvl w:val="0"/>
                <w:numId w:val="37"/>
              </w:numPr>
              <w:ind w:firstLineChars="0"/>
              <w:rPr>
                <w:sz w:val="28"/>
                <w:szCs w:val="28"/>
              </w:rPr>
            </w:pPr>
            <w:r>
              <w:rPr>
                <w:sz w:val="28"/>
                <w:szCs w:val="28"/>
              </w:rPr>
              <w:t>互联网IP</w:t>
            </w:r>
          </w:p>
          <w:p>
            <w:pPr>
              <w:pStyle w:val="125"/>
              <w:numPr>
                <w:ilvl w:val="0"/>
                <w:numId w:val="37"/>
              </w:numPr>
              <w:ind w:firstLineChars="0"/>
              <w:rPr>
                <w:sz w:val="28"/>
                <w:szCs w:val="28"/>
              </w:rPr>
            </w:pPr>
            <w:r>
              <w:rPr>
                <w:sz w:val="28"/>
                <w:szCs w:val="28"/>
              </w:rPr>
              <w:t>互联网带宽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主机和网络安全</w:t>
            </w:r>
          </w:p>
        </w:tc>
        <w:tc>
          <w:tcPr>
            <w:tcW w:w="3091" w:type="pct"/>
            <w:shd w:val="clear" w:color="auto" w:fill="auto"/>
            <w:noWrap/>
            <w:vAlign w:val="center"/>
          </w:tcPr>
          <w:p>
            <w:pPr>
              <w:pStyle w:val="125"/>
              <w:numPr>
                <w:ilvl w:val="0"/>
                <w:numId w:val="38"/>
              </w:numPr>
              <w:ind w:firstLineChars="0"/>
              <w:jc w:val="left"/>
              <w:rPr>
                <w:sz w:val="28"/>
                <w:szCs w:val="28"/>
              </w:rPr>
            </w:pPr>
            <w:r>
              <w:rPr>
                <w:sz w:val="28"/>
                <w:szCs w:val="28"/>
              </w:rPr>
              <w:t>主机加固</w:t>
            </w:r>
          </w:p>
          <w:p>
            <w:pPr>
              <w:pStyle w:val="125"/>
              <w:numPr>
                <w:ilvl w:val="0"/>
                <w:numId w:val="38"/>
              </w:numPr>
              <w:ind w:firstLineChars="0"/>
              <w:jc w:val="left"/>
              <w:rPr>
                <w:sz w:val="28"/>
                <w:szCs w:val="28"/>
              </w:rPr>
            </w:pPr>
            <w:r>
              <w:rPr>
                <w:sz w:val="28"/>
                <w:szCs w:val="28"/>
              </w:rPr>
              <w:t>云防火墙</w:t>
            </w:r>
          </w:p>
          <w:p>
            <w:pPr>
              <w:pStyle w:val="125"/>
              <w:numPr>
                <w:ilvl w:val="0"/>
                <w:numId w:val="38"/>
              </w:numPr>
              <w:ind w:firstLineChars="0"/>
              <w:jc w:val="left"/>
              <w:rPr>
                <w:sz w:val="28"/>
                <w:szCs w:val="28"/>
              </w:rPr>
            </w:pPr>
            <w:r>
              <w:rPr>
                <w:sz w:val="28"/>
                <w:szCs w:val="28"/>
              </w:rPr>
              <w:t>云堡垒机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WEB应用安全</w:t>
            </w:r>
          </w:p>
        </w:tc>
        <w:tc>
          <w:tcPr>
            <w:tcW w:w="3091" w:type="pct"/>
            <w:shd w:val="clear" w:color="auto" w:fill="auto"/>
            <w:noWrap/>
            <w:vAlign w:val="center"/>
          </w:tcPr>
          <w:p>
            <w:pPr>
              <w:pStyle w:val="125"/>
              <w:numPr>
                <w:ilvl w:val="0"/>
                <w:numId w:val="39"/>
              </w:numPr>
              <w:ind w:firstLineChars="0"/>
              <w:jc w:val="left"/>
              <w:rPr>
                <w:sz w:val="28"/>
                <w:szCs w:val="28"/>
              </w:rPr>
            </w:pPr>
            <w:r>
              <w:rPr>
                <w:sz w:val="28"/>
                <w:szCs w:val="28"/>
              </w:rPr>
              <w:t>网页防篡改</w:t>
            </w:r>
          </w:p>
          <w:p>
            <w:pPr>
              <w:pStyle w:val="125"/>
              <w:numPr>
                <w:ilvl w:val="0"/>
                <w:numId w:val="39"/>
              </w:numPr>
              <w:ind w:firstLineChars="0"/>
              <w:jc w:val="left"/>
              <w:rPr>
                <w:sz w:val="28"/>
                <w:szCs w:val="28"/>
              </w:rPr>
            </w:pPr>
            <w:r>
              <w:rPr>
                <w:sz w:val="28"/>
                <w:szCs w:val="28"/>
              </w:rPr>
              <w:t>WAF防护</w:t>
            </w:r>
          </w:p>
        </w:tc>
      </w:tr>
    </w:tbl>
    <w:p>
      <w:pPr>
        <w:ind w:firstLine="640"/>
      </w:pPr>
    </w:p>
    <w:p>
      <w:pPr>
        <w:spacing w:line="560" w:lineRule="exact"/>
        <w:ind w:firstLine="560"/>
        <w:rPr>
          <w:sz w:val="28"/>
          <w:szCs w:val="28"/>
        </w:rPr>
      </w:pPr>
    </w:p>
    <w:p>
      <w:pPr>
        <w:pStyle w:val="2"/>
        <w:ind w:firstLine="643"/>
        <w:rPr>
          <w:sz w:val="28"/>
          <w:szCs w:val="28"/>
        </w:rPr>
      </w:pPr>
      <w:bookmarkStart w:id="162" w:name="_Toc97654076"/>
      <w:r>
        <w:rPr>
          <w:sz w:val="28"/>
          <w:szCs w:val="28"/>
        </w:rPr>
        <w:t>节能、环保、消防、职业安全卫生</w:t>
      </w:r>
      <w:bookmarkEnd w:id="162"/>
    </w:p>
    <w:p>
      <w:pPr>
        <w:ind w:firstLine="560"/>
        <w:rPr>
          <w:sz w:val="28"/>
          <w:szCs w:val="28"/>
        </w:rPr>
      </w:pPr>
      <w:r>
        <w:rPr>
          <w:sz w:val="28"/>
          <w:szCs w:val="28"/>
        </w:rPr>
        <w:t>本项目为软件系统的研发，不涉及环境影响和环保措施、消防措施、职业安全和卫生措施。基于安全系统实现终端电脑的关机管理控制，实现节能环保。</w:t>
      </w:r>
    </w:p>
    <w:p>
      <w:pPr>
        <w:pStyle w:val="2"/>
        <w:ind w:firstLine="643"/>
        <w:rPr>
          <w:sz w:val="28"/>
          <w:szCs w:val="28"/>
        </w:rPr>
      </w:pPr>
      <w:bookmarkStart w:id="163" w:name="_Toc97654077"/>
      <w:r>
        <w:rPr>
          <w:sz w:val="28"/>
          <w:szCs w:val="28"/>
        </w:rPr>
        <w:t>项目组织机构与人员</w:t>
      </w:r>
      <w:bookmarkEnd w:id="163"/>
    </w:p>
    <w:p>
      <w:pPr>
        <w:pStyle w:val="3"/>
      </w:pPr>
      <w:bookmarkStart w:id="164" w:name="_Toc97654078"/>
      <w:r>
        <w:t>项目领导机构</w:t>
      </w:r>
      <w:bookmarkEnd w:id="164"/>
    </w:p>
    <w:p>
      <w:pPr>
        <w:ind w:firstLine="560"/>
        <w:rPr>
          <w:sz w:val="28"/>
          <w:szCs w:val="28"/>
        </w:rPr>
      </w:pPr>
      <w:r>
        <w:rPr>
          <w:sz w:val="28"/>
          <w:szCs w:val="28"/>
        </w:rPr>
        <w:t>项目总指挥：肖宝元</w:t>
      </w:r>
    </w:p>
    <w:p>
      <w:pPr>
        <w:ind w:firstLine="560"/>
        <w:rPr>
          <w:sz w:val="28"/>
          <w:szCs w:val="28"/>
        </w:rPr>
      </w:pPr>
      <w:r>
        <w:rPr>
          <w:sz w:val="28"/>
          <w:szCs w:val="28"/>
        </w:rPr>
        <w:t>项目负责人：董三忠</w:t>
      </w:r>
    </w:p>
    <w:p>
      <w:pPr>
        <w:ind w:firstLine="560"/>
        <w:rPr>
          <w:sz w:val="28"/>
          <w:szCs w:val="28"/>
        </w:rPr>
      </w:pPr>
      <w:r>
        <w:rPr>
          <w:sz w:val="28"/>
          <w:szCs w:val="28"/>
        </w:rPr>
        <w:t>保定市生态环境局高度重视保定市危险废物智能监控平台的各项建设工作。保定市生态环境局肖宝元同志任领导小组组长。负责统筹系统建设工作，保定市生态环境局固体废物与化学品处负责项目实施工作，保定市生态环境局固管中心，负责系统的维护管理、应用工作，其他各分局及所涉及到的各处室按照职责分工、协同配合做好相关应用工作。</w:t>
      </w:r>
    </w:p>
    <w:p>
      <w:pPr>
        <w:pStyle w:val="3"/>
      </w:pPr>
      <w:bookmarkStart w:id="165" w:name="_Toc97654079"/>
      <w:r>
        <w:t>项目实施机构</w:t>
      </w:r>
      <w:bookmarkEnd w:id="165"/>
    </w:p>
    <w:p>
      <w:pPr>
        <w:ind w:firstLine="560"/>
        <w:rPr>
          <w:sz w:val="28"/>
          <w:szCs w:val="28"/>
        </w:rPr>
      </w:pPr>
      <w:r>
        <w:rPr>
          <w:sz w:val="28"/>
          <w:szCs w:val="28"/>
        </w:rPr>
        <w:t>在项目领导小组下设办公室，作为具体组织实施的常务执行机构。项目办公室设在牵头单位保定市生态环境局，执行项目日常管理，负责协调项目相关的资源，确保项目的顺利开展；定期召开项目工作会，向项目领导小组汇报项目进展情况和重大事项；同时负责与工程技术合作单位进行沟通、协调和督办等具体工作。在正确领会领导小组的指导思想的基础上，做出具有一定前瞻性、示范意义、可操作的总体设计方案，同时对于各个具体实施方案进行审核和评价，对项目中出现的问题及时向领导小组汇报，并提出可行的解决方案。</w:t>
      </w:r>
    </w:p>
    <w:p>
      <w:pPr>
        <w:pStyle w:val="3"/>
      </w:pPr>
      <w:bookmarkStart w:id="166" w:name="_Toc97654080"/>
      <w:r>
        <w:t>项目验收机构</w:t>
      </w:r>
      <w:bookmarkEnd w:id="166"/>
    </w:p>
    <w:p>
      <w:pPr>
        <w:spacing w:line="560" w:lineRule="exact"/>
        <w:ind w:firstLine="560"/>
        <w:rPr>
          <w:sz w:val="28"/>
          <w:szCs w:val="28"/>
        </w:rPr>
      </w:pPr>
      <w:r>
        <w:rPr>
          <w:sz w:val="28"/>
          <w:szCs w:val="28"/>
        </w:rPr>
        <w:t>项目建设完成后，承担单位保定市生态环境局组织进行项目验收工作。</w:t>
      </w:r>
    </w:p>
    <w:p>
      <w:pPr>
        <w:ind w:firstLine="560"/>
        <w:rPr>
          <w:sz w:val="28"/>
          <w:szCs w:val="28"/>
        </w:rPr>
      </w:pPr>
      <w:r>
        <w:rPr>
          <w:sz w:val="28"/>
          <w:szCs w:val="28"/>
        </w:rPr>
        <w:t>保定市生态环境局组织专家小组、建设方组成项目验收机构，结合建设方案对项目进行验收。</w:t>
      </w:r>
    </w:p>
    <w:p>
      <w:pPr>
        <w:pStyle w:val="3"/>
      </w:pPr>
      <w:bookmarkStart w:id="167" w:name="_Toc97654081"/>
      <w:r>
        <w:t>运行维护机构</w:t>
      </w:r>
      <w:bookmarkEnd w:id="167"/>
    </w:p>
    <w:p>
      <w:pPr>
        <w:ind w:firstLine="560"/>
        <w:rPr>
          <w:sz w:val="28"/>
          <w:szCs w:val="28"/>
        </w:rPr>
      </w:pPr>
      <w:r>
        <w:rPr>
          <w:sz w:val="28"/>
          <w:szCs w:val="28"/>
        </w:rPr>
        <w:t>本项目规划的系统运行维护管理机构包括管理运维组、专家小组、建设方。</w:t>
      </w:r>
    </w:p>
    <w:p>
      <w:pPr>
        <w:ind w:firstLine="560"/>
        <w:rPr>
          <w:sz w:val="28"/>
          <w:szCs w:val="28"/>
        </w:rPr>
      </w:pPr>
      <w:r>
        <w:rPr>
          <w:sz w:val="28"/>
          <w:szCs w:val="28"/>
        </w:rPr>
        <w:t>管理运维组：主要任务是决策和协调，确定定位、方向、组织与政策策略等方面的重大问题。</w:t>
      </w:r>
    </w:p>
    <w:p>
      <w:pPr>
        <w:ind w:firstLine="560"/>
        <w:rPr>
          <w:sz w:val="28"/>
          <w:szCs w:val="28"/>
        </w:rPr>
      </w:pPr>
      <w:r>
        <w:rPr>
          <w:sz w:val="28"/>
          <w:szCs w:val="28"/>
        </w:rPr>
        <w:t>专家小组：主要负责规划方案讨论、审议，参与标准制定和信息资源整合等复杂工作的评审，项目建设过程的质量评审和管理、维护过程中疑难问题的解决等。</w:t>
      </w:r>
    </w:p>
    <w:p>
      <w:pPr>
        <w:ind w:firstLine="560"/>
        <w:rPr>
          <w:sz w:val="28"/>
          <w:szCs w:val="28"/>
        </w:rPr>
      </w:pPr>
      <w:r>
        <w:rPr>
          <w:sz w:val="28"/>
          <w:szCs w:val="28"/>
        </w:rPr>
        <w:t>建设方：对整个系统的技术基础、框架和规范设计等都具有良好的技术优势，可以在系统管理维护上提供技术支持和培训等工作。</w:t>
      </w:r>
    </w:p>
    <w:p>
      <w:pPr>
        <w:pStyle w:val="3"/>
      </w:pPr>
      <w:bookmarkStart w:id="168" w:name="_Toc97654082"/>
      <w:r>
        <w:t>技术力量和人员配置</w:t>
      </w:r>
      <w:bookmarkEnd w:id="168"/>
    </w:p>
    <w:p>
      <w:pPr>
        <w:spacing w:line="560" w:lineRule="exact"/>
        <w:ind w:firstLine="560"/>
        <w:rPr>
          <w:sz w:val="28"/>
          <w:szCs w:val="28"/>
        </w:rPr>
      </w:pPr>
      <w:r>
        <w:rPr>
          <w:sz w:val="28"/>
          <w:szCs w:val="28"/>
        </w:rPr>
        <w:t>保定市生态环境局固体废物与化学品处1名技术人员，负责系统的运营管理管理、应用设计分布工作，固废管理中心2名人员负责本局的系统维护管理、应用工作。按照职责分工、协同配合做好相关应用工作。</w:t>
      </w:r>
    </w:p>
    <w:p>
      <w:pPr>
        <w:pStyle w:val="3"/>
      </w:pPr>
      <w:bookmarkStart w:id="169" w:name="_Toc97654083"/>
      <w:r>
        <w:t>人员培训</w:t>
      </w:r>
      <w:bookmarkEnd w:id="169"/>
    </w:p>
    <w:p>
      <w:pPr>
        <w:spacing w:line="560" w:lineRule="exact"/>
        <w:ind w:firstLine="560"/>
        <w:rPr>
          <w:rFonts w:eastAsia="仿宋"/>
          <w:sz w:val="28"/>
          <w:szCs w:val="28"/>
        </w:rPr>
      </w:pPr>
      <w:r>
        <w:rPr>
          <w:sz w:val="28"/>
          <w:szCs w:val="28"/>
        </w:rPr>
        <w:t>为了高质量进行保定市危险废物智能化环境监管平台建设，并保证项目建成后充分发挥效益，必须对管理人员、技术人员和系统应用人员进行培训。</w:t>
      </w:r>
    </w:p>
    <w:p>
      <w:pPr>
        <w:pStyle w:val="4"/>
      </w:pPr>
      <w:bookmarkStart w:id="170" w:name="_Toc97654084"/>
      <w:bookmarkStart w:id="171" w:name="_Toc81322772"/>
      <w:r>
        <w:t>项目管理培训</w:t>
      </w:r>
      <w:bookmarkEnd w:id="170"/>
      <w:bookmarkEnd w:id="171"/>
    </w:p>
    <w:p>
      <w:pPr>
        <w:ind w:firstLine="560"/>
        <w:rPr>
          <w:sz w:val="28"/>
          <w:szCs w:val="28"/>
        </w:rPr>
      </w:pPr>
      <w:r>
        <w:rPr>
          <w:sz w:val="28"/>
          <w:szCs w:val="28"/>
        </w:rPr>
        <w:t>培训内容包括项目管理的基本原理、项目集成管理、项目范围管理、项目时间管理、项目成本管理、项目质量、项目风险管理等，培训目标是保证项目管理人员对项目管理知识有比较全面、深刻地了解，并能把这些知识应用到项目管理中，确保工程建设在可控的范围下进行。</w:t>
      </w:r>
    </w:p>
    <w:p>
      <w:pPr>
        <w:pStyle w:val="4"/>
      </w:pPr>
      <w:bookmarkStart w:id="172" w:name="_Toc97654085"/>
      <w:bookmarkStart w:id="173" w:name="_Toc81322773"/>
      <w:r>
        <w:t>系统建设与日常维护培训</w:t>
      </w:r>
      <w:bookmarkEnd w:id="172"/>
      <w:bookmarkEnd w:id="173"/>
    </w:p>
    <w:p>
      <w:pPr>
        <w:ind w:firstLine="560"/>
        <w:rPr>
          <w:sz w:val="28"/>
          <w:szCs w:val="28"/>
        </w:rPr>
      </w:pPr>
      <w:r>
        <w:rPr>
          <w:sz w:val="28"/>
          <w:szCs w:val="28"/>
        </w:rPr>
        <w:t>培训是保障系统建设、实施、运行、维护、扩展的重要工作。为使本项目所包含的各系统能够顺利的实施、使用、维护和管理，针对性的制定相关人员的培训计划，主要包括对系统日常操作人员进行系统操作培训，对系统管理人员进行应用系统管理及培训维护等，确保用户对软硬件系统有足够的了解和熟悉，能够独立进行日常运行、管理和维护。</w:t>
      </w:r>
    </w:p>
    <w:p>
      <w:pPr>
        <w:ind w:firstLine="560"/>
        <w:rPr>
          <w:sz w:val="28"/>
          <w:szCs w:val="28"/>
        </w:rPr>
      </w:pPr>
      <w:r>
        <w:rPr>
          <w:sz w:val="28"/>
          <w:szCs w:val="28"/>
        </w:rPr>
        <w:t>培训基本内容包括：</w:t>
      </w:r>
    </w:p>
    <w:p>
      <w:pPr>
        <w:ind w:firstLine="560"/>
        <w:rPr>
          <w:sz w:val="28"/>
          <w:szCs w:val="28"/>
        </w:rPr>
      </w:pPr>
      <w:r>
        <w:rPr>
          <w:sz w:val="28"/>
          <w:szCs w:val="28"/>
        </w:rPr>
        <w:t>系统的组成和功能实现；</w:t>
      </w:r>
    </w:p>
    <w:p>
      <w:pPr>
        <w:ind w:firstLine="560"/>
        <w:rPr>
          <w:sz w:val="28"/>
          <w:szCs w:val="28"/>
        </w:rPr>
      </w:pPr>
      <w:r>
        <w:rPr>
          <w:sz w:val="28"/>
          <w:szCs w:val="28"/>
        </w:rPr>
        <w:t>系统管理、维护、使用；</w:t>
      </w:r>
    </w:p>
    <w:p>
      <w:pPr>
        <w:ind w:firstLine="560"/>
        <w:rPr>
          <w:sz w:val="28"/>
          <w:szCs w:val="28"/>
        </w:rPr>
      </w:pPr>
      <w:r>
        <w:rPr>
          <w:sz w:val="28"/>
          <w:szCs w:val="28"/>
        </w:rPr>
        <w:t>系统部署安装配置及程序维护；</w:t>
      </w:r>
    </w:p>
    <w:p>
      <w:pPr>
        <w:ind w:firstLine="560"/>
        <w:rPr>
          <w:sz w:val="28"/>
          <w:szCs w:val="28"/>
        </w:rPr>
      </w:pPr>
      <w:r>
        <w:rPr>
          <w:sz w:val="28"/>
          <w:szCs w:val="28"/>
        </w:rPr>
        <w:t>系统运行平台管理与维护；</w:t>
      </w:r>
    </w:p>
    <w:p>
      <w:pPr>
        <w:ind w:firstLine="560"/>
        <w:rPr>
          <w:sz w:val="28"/>
          <w:szCs w:val="28"/>
        </w:rPr>
      </w:pPr>
      <w:r>
        <w:rPr>
          <w:sz w:val="28"/>
          <w:szCs w:val="28"/>
        </w:rPr>
        <w:t>系统软件结构、功能、数据结构；</w:t>
      </w:r>
    </w:p>
    <w:p>
      <w:pPr>
        <w:ind w:firstLine="560"/>
        <w:rPr>
          <w:sz w:val="28"/>
          <w:szCs w:val="28"/>
        </w:rPr>
      </w:pPr>
      <w:r>
        <w:rPr>
          <w:sz w:val="28"/>
          <w:szCs w:val="28"/>
        </w:rPr>
        <w:t>根据使用人员的情况进行的计算机基础知识培训；</w:t>
      </w:r>
    </w:p>
    <w:p>
      <w:pPr>
        <w:ind w:firstLine="560"/>
        <w:rPr>
          <w:sz w:val="28"/>
          <w:szCs w:val="28"/>
        </w:rPr>
      </w:pPr>
      <w:r>
        <w:rPr>
          <w:sz w:val="28"/>
          <w:szCs w:val="28"/>
        </w:rPr>
        <w:t>与使用人员相对应的系统模块的功能培训和操作培训。</w:t>
      </w:r>
    </w:p>
    <w:p>
      <w:pPr>
        <w:pStyle w:val="2"/>
        <w:ind w:firstLine="643"/>
        <w:rPr>
          <w:sz w:val="28"/>
          <w:szCs w:val="28"/>
        </w:rPr>
      </w:pPr>
      <w:bookmarkStart w:id="174" w:name="_Toc97654086"/>
      <w:r>
        <w:rPr>
          <w:sz w:val="28"/>
          <w:szCs w:val="28"/>
        </w:rPr>
        <w:t>项目实施进度</w:t>
      </w:r>
      <w:bookmarkEnd w:id="174"/>
    </w:p>
    <w:p>
      <w:pPr>
        <w:pStyle w:val="3"/>
      </w:pPr>
      <w:bookmarkStart w:id="175" w:name="_Toc97654087"/>
      <w:r>
        <w:t>项目建设期</w:t>
      </w:r>
      <w:bookmarkEnd w:id="175"/>
    </w:p>
    <w:p>
      <w:pPr>
        <w:spacing w:line="560" w:lineRule="exact"/>
        <w:ind w:firstLine="560"/>
        <w:rPr>
          <w:sz w:val="28"/>
          <w:szCs w:val="28"/>
        </w:rPr>
      </w:pPr>
      <w:r>
        <w:rPr>
          <w:sz w:val="28"/>
          <w:szCs w:val="28"/>
        </w:rPr>
        <w:t>项目建设的工期为2022年4月-6月。</w:t>
      </w:r>
    </w:p>
    <w:p>
      <w:pPr>
        <w:spacing w:line="560" w:lineRule="exact"/>
        <w:ind w:firstLine="560"/>
        <w:rPr>
          <w:sz w:val="28"/>
          <w:szCs w:val="28"/>
        </w:rPr>
      </w:pPr>
      <w:r>
        <w:rPr>
          <w:sz w:val="28"/>
          <w:szCs w:val="28"/>
        </w:rPr>
        <w:t xml:space="preserve">为保障项目能够如期按照实际情况完成工作任务，计划将本项目的实施分为五个阶段：第一阶段为项目启动阶段、第二阶段为项目设计阶段、第三阶段为项目实施阶段、第四阶段为项目试运行阶段、第五阶段为项目验收阶段。 </w:t>
      </w:r>
    </w:p>
    <w:p>
      <w:pPr>
        <w:spacing w:line="560" w:lineRule="exact"/>
        <w:ind w:firstLine="560"/>
        <w:rPr>
          <w:sz w:val="28"/>
          <w:szCs w:val="28"/>
        </w:rPr>
      </w:pPr>
      <w:r>
        <w:rPr>
          <w:sz w:val="28"/>
          <w:szCs w:val="28"/>
        </w:rPr>
        <w:t>项目总体周期是90个日历天，详细工期计划安排如下：</w:t>
      </w:r>
    </w:p>
    <w:tbl>
      <w:tblPr>
        <w:tblStyle w:val="77"/>
        <w:tblW w:w="5000" w:type="pct"/>
        <w:tblInd w:w="0" w:type="dxa"/>
        <w:tblLayout w:type="autofit"/>
        <w:tblCellMar>
          <w:top w:w="0" w:type="dxa"/>
          <w:left w:w="108" w:type="dxa"/>
          <w:bottom w:w="0" w:type="dxa"/>
          <w:right w:w="108" w:type="dxa"/>
        </w:tblCellMar>
      </w:tblPr>
      <w:tblGrid>
        <w:gridCol w:w="921"/>
        <w:gridCol w:w="1987"/>
        <w:gridCol w:w="1270"/>
        <w:gridCol w:w="421"/>
        <w:gridCol w:w="421"/>
        <w:gridCol w:w="421"/>
        <w:gridCol w:w="423"/>
        <w:gridCol w:w="421"/>
        <w:gridCol w:w="421"/>
        <w:gridCol w:w="421"/>
        <w:gridCol w:w="423"/>
        <w:gridCol w:w="422"/>
        <w:gridCol w:w="422"/>
        <w:gridCol w:w="422"/>
        <w:gridCol w:w="426"/>
      </w:tblGrid>
      <w:tr>
        <w:trPr>
          <w:trHeight w:val="364" w:hRule="atLeast"/>
        </w:trPr>
        <w:tc>
          <w:tcPr>
            <w:tcW w:w="5000" w:type="pct"/>
            <w:gridSpan w:val="15"/>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bCs/>
                <w:color w:val="000000"/>
                <w:kern w:val="0"/>
                <w:sz w:val="28"/>
                <w:szCs w:val="28"/>
              </w:rPr>
            </w:pPr>
            <w:r>
              <w:rPr>
                <w:bCs/>
                <w:color w:val="000000"/>
                <w:kern w:val="0"/>
                <w:sz w:val="28"/>
                <w:szCs w:val="28"/>
              </w:rPr>
              <w:t>项目实施计划表</w:t>
            </w:r>
          </w:p>
        </w:tc>
      </w:tr>
      <w:tr>
        <w:trPr>
          <w:trHeight w:val="364" w:hRule="atLeast"/>
        </w:trPr>
        <w:tc>
          <w:tcPr>
            <w:tcW w:w="498" w:type="pct"/>
            <w:vMerge w:val="restar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序号</w:t>
            </w:r>
          </w:p>
        </w:tc>
        <w:tc>
          <w:tcPr>
            <w:tcW w:w="1075" w:type="pct"/>
            <w:vMerge w:val="restar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项目</w:t>
            </w:r>
          </w:p>
        </w:tc>
        <w:tc>
          <w:tcPr>
            <w:tcW w:w="68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年</w:t>
            </w:r>
          </w:p>
        </w:tc>
        <w:tc>
          <w:tcPr>
            <w:tcW w:w="2740" w:type="pct"/>
            <w:gridSpan w:val="1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2022</w:t>
            </w:r>
          </w:p>
        </w:tc>
      </w:tr>
      <w:tr>
        <w:trPr>
          <w:trHeight w:val="364" w:hRule="atLeast"/>
        </w:trPr>
        <w:tc>
          <w:tcPr>
            <w:tcW w:w="498"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1075"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68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月</w:t>
            </w:r>
          </w:p>
        </w:tc>
        <w:tc>
          <w:tcPr>
            <w:tcW w:w="913" w:type="pct"/>
            <w:gridSpan w:val="4"/>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c>
          <w:tcPr>
            <w:tcW w:w="913" w:type="pct"/>
            <w:gridSpan w:val="4"/>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5</w:t>
            </w:r>
          </w:p>
        </w:tc>
        <w:tc>
          <w:tcPr>
            <w:tcW w:w="913" w:type="pct"/>
            <w:gridSpan w:val="4"/>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6</w:t>
            </w:r>
          </w:p>
        </w:tc>
      </w:tr>
      <w:tr>
        <w:trPr>
          <w:trHeight w:val="364" w:hRule="atLeast"/>
        </w:trPr>
        <w:tc>
          <w:tcPr>
            <w:tcW w:w="498"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1075"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68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周</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1</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2</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3</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1</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2</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3</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1</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2</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3</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r>
      <w:tr>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1</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业务调研和需求分析</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2</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框架设计和深化设计</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3</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应用软件系统开发</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4</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软件测试</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5</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系统试运行</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r>
      <w:tr>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6</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技术培训</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r>
      <w:tr>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7</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项目验收</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r>
    </w:tbl>
    <w:p>
      <w:pPr>
        <w:spacing w:line="560" w:lineRule="exact"/>
        <w:ind w:firstLine="560"/>
        <w:rPr>
          <w:sz w:val="28"/>
          <w:szCs w:val="28"/>
        </w:rPr>
      </w:pPr>
    </w:p>
    <w:p>
      <w:pPr>
        <w:pStyle w:val="3"/>
      </w:pPr>
      <w:bookmarkStart w:id="176" w:name="_Toc97654088"/>
      <w:r>
        <w:t>实施安排计划</w:t>
      </w:r>
      <w:bookmarkEnd w:id="176"/>
    </w:p>
    <w:p>
      <w:pPr>
        <w:spacing w:line="560" w:lineRule="exact"/>
        <w:ind w:firstLine="560"/>
        <w:rPr>
          <w:sz w:val="28"/>
          <w:szCs w:val="28"/>
        </w:rPr>
      </w:pPr>
      <w:r>
        <w:rPr>
          <w:sz w:val="28"/>
          <w:szCs w:val="28"/>
        </w:rPr>
        <w:t>(1) 建立详细的项目进度计划</w:t>
      </w:r>
    </w:p>
    <w:p>
      <w:pPr>
        <w:spacing w:line="560" w:lineRule="exact"/>
        <w:ind w:firstLine="560"/>
        <w:rPr>
          <w:sz w:val="28"/>
          <w:szCs w:val="28"/>
        </w:rPr>
      </w:pPr>
      <w:r>
        <w:rPr>
          <w:sz w:val="28"/>
          <w:szCs w:val="28"/>
        </w:rPr>
        <w:t>在整体项目进度计划的基础上，制定详细的项目进度计划。内容包括项目进度时间节点、严格时间节点、机动时间节点，项目各部分进度时间节点、严格时间节点、机动时间节点。</w:t>
      </w:r>
    </w:p>
    <w:p>
      <w:pPr>
        <w:spacing w:line="560" w:lineRule="exact"/>
        <w:ind w:firstLine="560"/>
        <w:rPr>
          <w:sz w:val="28"/>
          <w:szCs w:val="28"/>
        </w:rPr>
      </w:pPr>
      <w:r>
        <w:rPr>
          <w:sz w:val="28"/>
          <w:szCs w:val="28"/>
        </w:rPr>
        <w:t>(2) 建立进度信息沟通网络机制</w:t>
      </w:r>
    </w:p>
    <w:p>
      <w:pPr>
        <w:spacing w:line="560" w:lineRule="exact"/>
        <w:ind w:firstLine="560"/>
        <w:rPr>
          <w:sz w:val="28"/>
          <w:szCs w:val="28"/>
        </w:rPr>
      </w:pPr>
      <w:r>
        <w:rPr>
          <w:sz w:val="28"/>
          <w:szCs w:val="28"/>
        </w:rPr>
        <w:t>建立一套完整的进度信息沟通机制。建设机构进度控制人员随时对项目建设进度情况进行检查，按项目进度完成度形成报告送达至项目管理机构。</w:t>
      </w:r>
    </w:p>
    <w:p>
      <w:pPr>
        <w:spacing w:line="560" w:lineRule="exact"/>
        <w:ind w:firstLine="560"/>
        <w:rPr>
          <w:sz w:val="28"/>
          <w:szCs w:val="28"/>
        </w:rPr>
      </w:pPr>
      <w:r>
        <w:rPr>
          <w:sz w:val="28"/>
          <w:szCs w:val="28"/>
        </w:rPr>
        <w:t>(3) 建立进度计划实施中的检查分析机制</w:t>
      </w:r>
    </w:p>
    <w:p>
      <w:pPr>
        <w:spacing w:line="560" w:lineRule="exact"/>
        <w:ind w:firstLine="560"/>
        <w:rPr>
          <w:sz w:val="28"/>
          <w:szCs w:val="28"/>
        </w:rPr>
      </w:pPr>
      <w:r>
        <w:rPr>
          <w:sz w:val="28"/>
          <w:szCs w:val="28"/>
        </w:rPr>
        <w:t>进度控制人员负责进度计划实施中的检查分析。检查分析是保障进度的重要环节，分析项目进度是后续进度计划制定的依据，是整体把握项目进度的前提条件。</w:t>
      </w:r>
    </w:p>
    <w:p>
      <w:pPr>
        <w:spacing w:line="560" w:lineRule="exact"/>
        <w:ind w:firstLine="560"/>
        <w:rPr>
          <w:sz w:val="28"/>
          <w:szCs w:val="28"/>
        </w:rPr>
      </w:pPr>
      <w:r>
        <w:rPr>
          <w:sz w:val="28"/>
          <w:szCs w:val="28"/>
        </w:rPr>
        <w:t>(4) 建立进度协调会议制度</w:t>
      </w:r>
    </w:p>
    <w:p>
      <w:pPr>
        <w:spacing w:line="560" w:lineRule="exact"/>
        <w:ind w:firstLine="560"/>
        <w:rPr>
          <w:rFonts w:eastAsia="黑体"/>
          <w:sz w:val="28"/>
          <w:szCs w:val="28"/>
        </w:rPr>
      </w:pPr>
      <w:r>
        <w:rPr>
          <w:sz w:val="28"/>
          <w:szCs w:val="28"/>
        </w:rPr>
        <w:t>项目控制人员制定进度协调会议制度，内容包括协调会议举行的时间、地点，协调会议的参加人员。协调会议形成会议报告送达至项目管理机构。</w:t>
      </w:r>
    </w:p>
    <w:p>
      <w:pPr>
        <w:pStyle w:val="2"/>
        <w:ind w:firstLine="643"/>
        <w:rPr>
          <w:sz w:val="28"/>
          <w:szCs w:val="28"/>
        </w:rPr>
      </w:pPr>
      <w:bookmarkStart w:id="177" w:name="_Toc97654089"/>
      <w:r>
        <w:rPr>
          <w:sz w:val="28"/>
          <w:szCs w:val="28"/>
        </w:rPr>
        <w:t>投资估算和资金来源</w:t>
      </w:r>
      <w:bookmarkEnd w:id="177"/>
    </w:p>
    <w:p>
      <w:pPr>
        <w:pStyle w:val="3"/>
      </w:pPr>
      <w:bookmarkStart w:id="178" w:name="_Toc97654090"/>
      <w:r>
        <w:t>投资估算的有关说明</w:t>
      </w:r>
      <w:bookmarkEnd w:id="178"/>
    </w:p>
    <w:p>
      <w:pPr>
        <w:ind w:firstLine="560"/>
        <w:rPr>
          <w:sz w:val="28"/>
          <w:szCs w:val="28"/>
        </w:rPr>
      </w:pPr>
      <w:r>
        <w:rPr>
          <w:sz w:val="28"/>
          <w:szCs w:val="28"/>
        </w:rPr>
        <w:t>本项目投资估算依据如下：</w:t>
      </w:r>
    </w:p>
    <w:p>
      <w:pPr>
        <w:ind w:firstLine="560"/>
        <w:rPr>
          <w:sz w:val="28"/>
          <w:szCs w:val="28"/>
        </w:rPr>
      </w:pPr>
      <w:r>
        <w:rPr>
          <w:sz w:val="28"/>
          <w:szCs w:val="28"/>
        </w:rPr>
        <w:t>（1）《国家政务信息化项目建设管理办法》（国办发〔2019〕57号）；</w:t>
      </w:r>
    </w:p>
    <w:p>
      <w:pPr>
        <w:ind w:firstLine="560"/>
        <w:rPr>
          <w:sz w:val="28"/>
          <w:szCs w:val="28"/>
        </w:rPr>
      </w:pPr>
      <w:r>
        <w:rPr>
          <w:sz w:val="28"/>
          <w:szCs w:val="28"/>
        </w:rPr>
        <w:t>（2）《电子建设工程概（预）算编制办法及计价依据》（HYD41-2015）；</w:t>
      </w:r>
    </w:p>
    <w:p>
      <w:pPr>
        <w:ind w:firstLine="560"/>
        <w:rPr>
          <w:sz w:val="28"/>
          <w:szCs w:val="28"/>
        </w:rPr>
      </w:pPr>
      <w:r>
        <w:rPr>
          <w:sz w:val="28"/>
          <w:szCs w:val="28"/>
        </w:rPr>
        <w:t>（3）《电子建设工程预算定额》（HYD41-2015）；</w:t>
      </w:r>
    </w:p>
    <w:p>
      <w:pPr>
        <w:ind w:firstLine="560"/>
        <w:rPr>
          <w:sz w:val="28"/>
          <w:szCs w:val="28"/>
        </w:rPr>
      </w:pPr>
      <w:r>
        <w:rPr>
          <w:sz w:val="28"/>
          <w:szCs w:val="28"/>
        </w:rPr>
        <w:t>（4）河北省《软件开发项目造价评估规范》；</w:t>
      </w:r>
    </w:p>
    <w:p>
      <w:pPr>
        <w:ind w:firstLine="560"/>
        <w:rPr>
          <w:sz w:val="28"/>
          <w:szCs w:val="28"/>
        </w:rPr>
      </w:pPr>
      <w:r>
        <w:rPr>
          <w:sz w:val="28"/>
          <w:szCs w:val="28"/>
        </w:rPr>
        <w:t>（5）国家及地方其他有关投资估算规定和取费标准。</w:t>
      </w:r>
    </w:p>
    <w:p>
      <w:pPr>
        <w:pStyle w:val="3"/>
      </w:pPr>
      <w:bookmarkStart w:id="179" w:name="_Toc97654091"/>
      <w:r>
        <w:t>总投资估算</w:t>
      </w:r>
      <w:bookmarkEnd w:id="179"/>
    </w:p>
    <w:p>
      <w:pPr>
        <w:spacing w:line="560" w:lineRule="exact"/>
        <w:ind w:firstLine="560"/>
        <w:rPr>
          <w:sz w:val="28"/>
          <w:szCs w:val="28"/>
        </w:rPr>
      </w:pPr>
      <w:r>
        <w:rPr>
          <w:sz w:val="28"/>
          <w:szCs w:val="28"/>
        </w:rPr>
        <w:t>本项目预算投资为</w:t>
      </w:r>
      <w:r>
        <w:rPr>
          <w:rFonts w:hint="eastAsia"/>
          <w:sz w:val="28"/>
          <w:szCs w:val="28"/>
        </w:rPr>
        <w:t>94.93</w:t>
      </w:r>
      <w:r>
        <w:rPr>
          <w:sz w:val="28"/>
          <w:szCs w:val="28"/>
        </w:rPr>
        <w:t>万元，投资估算清单如下：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3813"/>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序号</w:t>
            </w:r>
          </w:p>
        </w:tc>
        <w:tc>
          <w:tcPr>
            <w:tcW w:w="3813" w:type="dxa"/>
          </w:tcPr>
          <w:p>
            <w:pPr>
              <w:spacing w:line="560" w:lineRule="exact"/>
              <w:ind w:firstLine="0" w:firstLineChars="0"/>
              <w:jc w:val="center"/>
              <w:rPr>
                <w:sz w:val="28"/>
                <w:szCs w:val="28"/>
              </w:rPr>
            </w:pPr>
            <w:r>
              <w:rPr>
                <w:sz w:val="28"/>
                <w:szCs w:val="28"/>
              </w:rPr>
              <w:t>建设内容</w:t>
            </w:r>
          </w:p>
        </w:tc>
        <w:tc>
          <w:tcPr>
            <w:tcW w:w="3081" w:type="dxa"/>
          </w:tcPr>
          <w:p>
            <w:pPr>
              <w:spacing w:line="560" w:lineRule="exact"/>
              <w:ind w:firstLine="0" w:firstLineChars="0"/>
              <w:jc w:val="center"/>
              <w:rPr>
                <w:sz w:val="28"/>
                <w:szCs w:val="28"/>
              </w:rPr>
            </w:pPr>
            <w:r>
              <w:rPr>
                <w:sz w:val="28"/>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1</w:t>
            </w:r>
          </w:p>
        </w:tc>
        <w:tc>
          <w:tcPr>
            <w:tcW w:w="3813" w:type="dxa"/>
          </w:tcPr>
          <w:p>
            <w:pPr>
              <w:spacing w:line="560" w:lineRule="exact"/>
              <w:ind w:firstLine="0" w:firstLineChars="0"/>
              <w:jc w:val="center"/>
              <w:rPr>
                <w:sz w:val="28"/>
                <w:szCs w:val="28"/>
              </w:rPr>
            </w:pPr>
            <w:r>
              <w:rPr>
                <w:sz w:val="28"/>
                <w:szCs w:val="28"/>
              </w:rPr>
              <w:t>数据支撑平台</w:t>
            </w:r>
          </w:p>
        </w:tc>
        <w:tc>
          <w:tcPr>
            <w:tcW w:w="3081" w:type="dxa"/>
          </w:tcPr>
          <w:p>
            <w:pPr>
              <w:spacing w:line="560" w:lineRule="exact"/>
              <w:ind w:firstLine="0" w:firstLineChars="0"/>
              <w:jc w:val="center"/>
              <w:rPr>
                <w:sz w:val="28"/>
                <w:szCs w:val="28"/>
              </w:rPr>
            </w:pPr>
            <w:r>
              <w:rPr>
                <w:rFonts w:hint="eastAsia"/>
                <w:sz w:val="28"/>
                <w:szCs w:val="28"/>
              </w:rPr>
              <w:t>320797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2</w:t>
            </w:r>
          </w:p>
        </w:tc>
        <w:tc>
          <w:tcPr>
            <w:tcW w:w="3813" w:type="dxa"/>
          </w:tcPr>
          <w:p>
            <w:pPr>
              <w:spacing w:line="560" w:lineRule="exact"/>
              <w:ind w:firstLine="0" w:firstLineChars="0"/>
              <w:jc w:val="center"/>
              <w:rPr>
                <w:sz w:val="28"/>
                <w:szCs w:val="28"/>
              </w:rPr>
            </w:pPr>
            <w:r>
              <w:rPr>
                <w:sz w:val="28"/>
                <w:szCs w:val="28"/>
              </w:rPr>
              <w:t>危废全生命周期监管</w:t>
            </w:r>
          </w:p>
        </w:tc>
        <w:tc>
          <w:tcPr>
            <w:tcW w:w="3081" w:type="dxa"/>
          </w:tcPr>
          <w:p>
            <w:pPr>
              <w:spacing w:line="560" w:lineRule="exact"/>
              <w:ind w:firstLine="0" w:firstLineChars="0"/>
              <w:jc w:val="center"/>
              <w:rPr>
                <w:sz w:val="28"/>
                <w:szCs w:val="28"/>
              </w:rPr>
            </w:pPr>
            <w:r>
              <w:rPr>
                <w:rFonts w:hint="eastAsia"/>
                <w:sz w:val="28"/>
                <w:szCs w:val="28"/>
              </w:rPr>
              <w:t>96333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3</w:t>
            </w:r>
          </w:p>
        </w:tc>
        <w:tc>
          <w:tcPr>
            <w:tcW w:w="3813" w:type="dxa"/>
          </w:tcPr>
          <w:p>
            <w:pPr>
              <w:spacing w:line="560" w:lineRule="exact"/>
              <w:ind w:firstLine="0" w:firstLineChars="0"/>
              <w:jc w:val="center"/>
              <w:rPr>
                <w:sz w:val="28"/>
                <w:szCs w:val="28"/>
              </w:rPr>
            </w:pPr>
            <w:r>
              <w:rPr>
                <w:sz w:val="28"/>
                <w:szCs w:val="28"/>
              </w:rPr>
              <w:t>移动端APP</w:t>
            </w:r>
          </w:p>
        </w:tc>
        <w:tc>
          <w:tcPr>
            <w:tcW w:w="3081" w:type="dxa"/>
          </w:tcPr>
          <w:p>
            <w:pPr>
              <w:spacing w:line="560" w:lineRule="exact"/>
              <w:ind w:firstLine="0" w:firstLineChars="0"/>
              <w:jc w:val="center"/>
              <w:rPr>
                <w:sz w:val="28"/>
                <w:szCs w:val="28"/>
              </w:rPr>
            </w:pPr>
            <w:r>
              <w:rPr>
                <w:rFonts w:hint="eastAsia"/>
                <w:sz w:val="28"/>
                <w:szCs w:val="28"/>
              </w:rPr>
              <w:t>52372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4</w:t>
            </w:r>
          </w:p>
        </w:tc>
        <w:tc>
          <w:tcPr>
            <w:tcW w:w="3813" w:type="dxa"/>
          </w:tcPr>
          <w:p>
            <w:pPr>
              <w:spacing w:line="560" w:lineRule="exact"/>
              <w:ind w:firstLine="0" w:firstLineChars="0"/>
              <w:jc w:val="center"/>
              <w:rPr>
                <w:sz w:val="28"/>
                <w:szCs w:val="28"/>
              </w:rPr>
            </w:pPr>
            <w:r>
              <w:rPr>
                <w:rFonts w:hint="eastAsia" w:ascii="宋体" w:hAnsi="宋体" w:cs="宋体"/>
                <w:color w:val="000000"/>
                <w:kern w:val="0"/>
                <w:szCs w:val="21"/>
              </w:rPr>
              <w:t>综合管理子系统</w:t>
            </w:r>
          </w:p>
        </w:tc>
        <w:tc>
          <w:tcPr>
            <w:tcW w:w="3081" w:type="dxa"/>
          </w:tcPr>
          <w:p>
            <w:pPr>
              <w:spacing w:line="560" w:lineRule="exact"/>
              <w:ind w:firstLine="0" w:firstLineChars="0"/>
              <w:jc w:val="center"/>
              <w:rPr>
                <w:sz w:val="28"/>
                <w:szCs w:val="28"/>
              </w:rPr>
            </w:pPr>
            <w:r>
              <w:rPr>
                <w:rFonts w:hint="eastAsia"/>
                <w:sz w:val="28"/>
                <w:szCs w:val="28"/>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5</w:t>
            </w:r>
          </w:p>
        </w:tc>
        <w:tc>
          <w:tcPr>
            <w:tcW w:w="3813" w:type="dxa"/>
          </w:tcPr>
          <w:p>
            <w:pPr>
              <w:spacing w:line="560" w:lineRule="exact"/>
              <w:ind w:firstLine="0" w:firstLineChars="0"/>
              <w:jc w:val="center"/>
              <w:rPr>
                <w:sz w:val="28"/>
                <w:szCs w:val="28"/>
              </w:rPr>
            </w:pPr>
            <w:r>
              <w:rPr>
                <w:sz w:val="28"/>
                <w:szCs w:val="28"/>
              </w:rPr>
              <w:t>支撑平台</w:t>
            </w:r>
          </w:p>
        </w:tc>
        <w:tc>
          <w:tcPr>
            <w:tcW w:w="3081" w:type="dxa"/>
          </w:tcPr>
          <w:p>
            <w:pPr>
              <w:spacing w:line="560" w:lineRule="exact"/>
              <w:ind w:firstLine="0" w:firstLineChars="0"/>
              <w:jc w:val="center"/>
              <w:rPr>
                <w:sz w:val="28"/>
                <w:szCs w:val="28"/>
              </w:rPr>
            </w:pPr>
            <w:r>
              <w:rPr>
                <w:rFonts w:hint="eastAsia"/>
                <w:sz w:val="28"/>
                <w:szCs w:val="28"/>
              </w:rPr>
              <w:t>374798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6</w:t>
            </w:r>
          </w:p>
        </w:tc>
        <w:tc>
          <w:tcPr>
            <w:tcW w:w="3813" w:type="dxa"/>
          </w:tcPr>
          <w:p>
            <w:pPr>
              <w:spacing w:line="560" w:lineRule="exact"/>
              <w:ind w:firstLine="0" w:firstLineChars="0"/>
              <w:jc w:val="center"/>
              <w:rPr>
                <w:sz w:val="28"/>
                <w:szCs w:val="28"/>
              </w:rPr>
            </w:pPr>
            <w:r>
              <w:rPr>
                <w:sz w:val="28"/>
                <w:szCs w:val="28"/>
              </w:rPr>
              <w:t>等保测评</w:t>
            </w:r>
          </w:p>
        </w:tc>
        <w:tc>
          <w:tcPr>
            <w:tcW w:w="3081" w:type="dxa"/>
          </w:tcPr>
          <w:p>
            <w:pPr>
              <w:spacing w:line="560" w:lineRule="exact"/>
              <w:ind w:firstLine="0" w:firstLineChars="0"/>
              <w:jc w:val="center"/>
              <w:rPr>
                <w:sz w:val="28"/>
                <w:szCs w:val="28"/>
              </w:rPr>
            </w:pPr>
            <w:r>
              <w:rPr>
                <w:rFonts w:hint="eastAsia"/>
                <w:sz w:val="28"/>
                <w:szCs w:val="28"/>
              </w:rPr>
              <w:t>70000</w:t>
            </w:r>
          </w:p>
        </w:tc>
      </w:tr>
    </w:tbl>
    <w:p>
      <w:pPr>
        <w:ind w:firstLine="0" w:firstLineChars="0"/>
        <w:rPr>
          <w:sz w:val="28"/>
          <w:szCs w:val="28"/>
        </w:rPr>
      </w:pPr>
    </w:p>
    <w:p>
      <w:pPr>
        <w:pStyle w:val="3"/>
      </w:pPr>
      <w:bookmarkStart w:id="180" w:name="_Toc97654092"/>
      <w:r>
        <w:t>资金来源与落实</w:t>
      </w:r>
      <w:bookmarkEnd w:id="180"/>
    </w:p>
    <w:p>
      <w:pPr>
        <w:spacing w:line="560" w:lineRule="exact"/>
        <w:ind w:firstLine="560"/>
        <w:rPr>
          <w:rFonts w:eastAsia="黑体"/>
          <w:sz w:val="28"/>
          <w:szCs w:val="28"/>
        </w:rPr>
      </w:pPr>
      <w:r>
        <w:rPr>
          <w:sz w:val="28"/>
          <w:szCs w:val="28"/>
        </w:rPr>
        <w:t>项目已列入市财政预算资金保障计划。项目资金来源于市级财政。</w:t>
      </w:r>
    </w:p>
    <w:p>
      <w:pPr>
        <w:pStyle w:val="2"/>
        <w:ind w:firstLine="643"/>
        <w:rPr>
          <w:sz w:val="28"/>
          <w:szCs w:val="28"/>
        </w:rPr>
      </w:pPr>
      <w:bookmarkStart w:id="181" w:name="_Toc97654093"/>
      <w:r>
        <w:rPr>
          <w:sz w:val="28"/>
          <w:szCs w:val="28"/>
        </w:rPr>
        <w:t>效益与风险分析</w:t>
      </w:r>
      <w:bookmarkEnd w:id="181"/>
    </w:p>
    <w:p>
      <w:pPr>
        <w:pStyle w:val="3"/>
      </w:pPr>
      <w:bookmarkStart w:id="182" w:name="_Toc97654094"/>
      <w:r>
        <w:t>经济效益分析</w:t>
      </w:r>
      <w:bookmarkEnd w:id="182"/>
    </w:p>
    <w:p>
      <w:pPr>
        <w:ind w:firstLine="560"/>
        <w:rPr>
          <w:sz w:val="28"/>
          <w:szCs w:val="28"/>
        </w:rPr>
      </w:pPr>
      <w:r>
        <w:rPr>
          <w:sz w:val="28"/>
          <w:szCs w:val="28"/>
        </w:rPr>
        <w:t>（1）提高固体废物管理效能，降低管理成本</w:t>
      </w:r>
    </w:p>
    <w:p>
      <w:pPr>
        <w:spacing w:line="560" w:lineRule="exact"/>
        <w:ind w:firstLine="560"/>
        <w:rPr>
          <w:sz w:val="28"/>
          <w:szCs w:val="28"/>
        </w:rPr>
      </w:pPr>
      <w:r>
        <w:rPr>
          <w:sz w:val="28"/>
          <w:szCs w:val="28"/>
        </w:rPr>
        <w:t>保定市危险废物智能化环境监管平台打造了更为严格、精细的危险废物全过程智能监管体系，为生态环境部门真实、细致、及时、动态地掌握危险废物产生、转移、处置情况提供了先进智能的技术手段，为领导决策提供了辅助支持，使危险废物管理事业上升了一个台阶，提高了危险废物管理效能，降低了管理成本。</w:t>
      </w:r>
    </w:p>
    <w:p>
      <w:pPr>
        <w:ind w:firstLine="560"/>
        <w:rPr>
          <w:sz w:val="28"/>
          <w:szCs w:val="28"/>
        </w:rPr>
      </w:pPr>
      <w:r>
        <w:rPr>
          <w:sz w:val="28"/>
          <w:szCs w:val="28"/>
        </w:rPr>
        <w:t>（2）转变固体废物监管重点，减少治理成本</w:t>
      </w:r>
    </w:p>
    <w:p>
      <w:pPr>
        <w:spacing w:line="560" w:lineRule="exact"/>
        <w:ind w:firstLine="560"/>
        <w:rPr>
          <w:sz w:val="28"/>
          <w:szCs w:val="28"/>
        </w:rPr>
      </w:pPr>
      <w:r>
        <w:rPr>
          <w:sz w:val="28"/>
          <w:szCs w:val="28"/>
        </w:rPr>
        <w:t>保定市危险废物智能化环境监管平台建设避免环境监管工作重点放到末端治理上，由以前的“坐等上门”变为现在的“主动发现”，使问题、矛盾发现和处理的关口前移，帮助管理部分从源头预防，减少政府环保危险废物污染治理资金投入。</w:t>
      </w:r>
    </w:p>
    <w:p>
      <w:pPr>
        <w:pStyle w:val="3"/>
      </w:pPr>
      <w:bookmarkStart w:id="183" w:name="_Toc97654095"/>
      <w:r>
        <w:t>社会效益分析</w:t>
      </w:r>
      <w:bookmarkEnd w:id="183"/>
    </w:p>
    <w:p>
      <w:pPr>
        <w:ind w:firstLine="560"/>
        <w:rPr>
          <w:sz w:val="28"/>
          <w:szCs w:val="28"/>
        </w:rPr>
      </w:pPr>
      <w:r>
        <w:rPr>
          <w:sz w:val="28"/>
          <w:szCs w:val="28"/>
        </w:rPr>
        <w:t>（1）创新了固体废物管理服务模式</w:t>
      </w:r>
    </w:p>
    <w:p>
      <w:pPr>
        <w:spacing w:line="560" w:lineRule="exact"/>
        <w:ind w:firstLine="560"/>
        <w:rPr>
          <w:sz w:val="28"/>
          <w:szCs w:val="28"/>
        </w:rPr>
      </w:pPr>
      <w:r>
        <w:rPr>
          <w:sz w:val="28"/>
          <w:szCs w:val="28"/>
        </w:rPr>
        <w:t>保定市危险废物智能化环境监管平台建设充分利用现代物联网技术，集成视频监控、智能称重设备等技术，实现对固体废物（危险废物）产生、贮存、转移、利用、处置全过程进行可视化行为监管，实时掌握危险废物运行状态，创新了危险废物管理服务新模式，实现了危险废物规范化管理。</w:t>
      </w:r>
    </w:p>
    <w:p>
      <w:pPr>
        <w:ind w:firstLine="560"/>
        <w:rPr>
          <w:sz w:val="28"/>
          <w:szCs w:val="28"/>
        </w:rPr>
      </w:pPr>
      <w:r>
        <w:rPr>
          <w:sz w:val="28"/>
          <w:szCs w:val="28"/>
        </w:rPr>
        <w:t>（2）强化了固体废物环境风险防范</w:t>
      </w:r>
    </w:p>
    <w:p>
      <w:pPr>
        <w:ind w:firstLine="560"/>
        <w:rPr>
          <w:sz w:val="28"/>
          <w:szCs w:val="28"/>
        </w:rPr>
      </w:pPr>
      <w:r>
        <w:rPr>
          <w:sz w:val="28"/>
          <w:szCs w:val="28"/>
        </w:rPr>
        <w:t>基于利用智能数据分析技术，对企业的申报数据、转移数据、视频抓拍、接收入库、处置台账等数据进行联机综合分析，加强了固体废物（危险废物）薄弱管理环境识别，切断非法转移、贩卖、排放、倾倒、处置危险废物的利益链条，强化了危险废物环境风险防范，有效遏制非法转移、排放、倾倒、处置危险废物案件多发态势。</w:t>
      </w:r>
    </w:p>
    <w:p>
      <w:pPr>
        <w:pStyle w:val="3"/>
      </w:pPr>
      <w:bookmarkStart w:id="184" w:name="_Toc97654096"/>
      <w:r>
        <w:t>项目风险与风险对策</w:t>
      </w:r>
      <w:bookmarkEnd w:id="184"/>
    </w:p>
    <w:p>
      <w:pPr>
        <w:pStyle w:val="4"/>
      </w:pPr>
      <w:bookmarkStart w:id="185" w:name="_Toc81322787"/>
      <w:bookmarkStart w:id="186" w:name="_Toc97654097"/>
      <w:r>
        <w:t>项目风险</w:t>
      </w:r>
      <w:bookmarkEnd w:id="185"/>
      <w:bookmarkEnd w:id="186"/>
    </w:p>
    <w:p>
      <w:pPr>
        <w:pStyle w:val="5"/>
      </w:pPr>
      <w:r>
        <w:t>政策风险</w:t>
      </w:r>
    </w:p>
    <w:p>
      <w:pPr>
        <w:ind w:firstLine="560"/>
        <w:rPr>
          <w:sz w:val="28"/>
          <w:szCs w:val="28"/>
        </w:rPr>
      </w:pPr>
      <w:r>
        <w:rPr>
          <w:sz w:val="28"/>
          <w:szCs w:val="28"/>
        </w:rPr>
        <w:t>政策风险是项目建设过程中无法避免的，相关的政策法规不够完善和健全，无法及时跟进信息化发展的速度，会在很大程度上制约信息化建设的开展和实施，关键是根据实际情况，在项目建设中充分考虑到相关因素，制订切实可行的策略，以尽可能减少因为政策因素而产生的不利影响。</w:t>
      </w:r>
    </w:p>
    <w:p>
      <w:pPr>
        <w:pStyle w:val="5"/>
      </w:pPr>
      <w:r>
        <w:t>业务风险</w:t>
      </w:r>
    </w:p>
    <w:p>
      <w:pPr>
        <w:ind w:firstLine="560"/>
        <w:rPr>
          <w:sz w:val="28"/>
          <w:szCs w:val="28"/>
        </w:rPr>
      </w:pPr>
      <w:r>
        <w:rPr>
          <w:sz w:val="28"/>
          <w:szCs w:val="28"/>
        </w:rPr>
        <w:t>在项目实施过程中，由于业务研究不透彻或业务发生变化（如业务流程改变、业务管理政策变化等）可能产生一定风险。</w:t>
      </w:r>
    </w:p>
    <w:p>
      <w:pPr>
        <w:ind w:firstLine="560"/>
        <w:rPr>
          <w:sz w:val="28"/>
          <w:szCs w:val="28"/>
        </w:rPr>
      </w:pPr>
      <w:r>
        <w:rPr>
          <w:sz w:val="28"/>
          <w:szCs w:val="28"/>
        </w:rPr>
        <w:t>由于服务涵盖多部门、多业务，信息共享平台建设涉及面广、任务重、时间紧、要求高，本项目在前期调研过程中将充分依托相关部门业务与技术支持单位，尽可能了解各管理单位的业务需求，并对有关业务流程进行优化和规范。在业务流程设计过程中，具体情况具体分析，满足不同层次、不同部门的实际需要。应用系统规划将对管理核心业务需求进行提炼，分析归纳出具有共性特征的基础系统功能和具有个性特征的专项系统功能，以此作为项目核心系统业务组件设计的基础，满足业务管理的要求。</w:t>
      </w:r>
    </w:p>
    <w:p>
      <w:pPr>
        <w:ind w:firstLine="560"/>
        <w:rPr>
          <w:sz w:val="28"/>
          <w:szCs w:val="28"/>
        </w:rPr>
      </w:pPr>
      <w:r>
        <w:rPr>
          <w:sz w:val="28"/>
          <w:szCs w:val="28"/>
        </w:rPr>
        <w:t>此外，本项目应用系统建设采用可扩展性原则，尽可能考虑未来业务需求可能发生的变更，在系统设计策略和系统架构设计中采用系统间松耦合的设计原则，把系统的可扩展性放在重要地位。</w:t>
      </w:r>
    </w:p>
    <w:p>
      <w:pPr>
        <w:pStyle w:val="5"/>
      </w:pPr>
      <w:r>
        <w:t>管理风险</w:t>
      </w:r>
    </w:p>
    <w:p>
      <w:pPr>
        <w:ind w:firstLine="560"/>
        <w:rPr>
          <w:sz w:val="28"/>
          <w:szCs w:val="28"/>
        </w:rPr>
      </w:pPr>
      <w:r>
        <w:rPr>
          <w:sz w:val="28"/>
          <w:szCs w:val="28"/>
        </w:rPr>
        <w:t>管理风险主要包括项目管理的基本原则使用不当，计划草率、质量差，进度和资源配置不合理等。</w:t>
      </w:r>
    </w:p>
    <w:p>
      <w:pPr>
        <w:pStyle w:val="5"/>
      </w:pPr>
      <w:r>
        <w:t>技术风险</w:t>
      </w:r>
    </w:p>
    <w:p>
      <w:pPr>
        <w:ind w:firstLine="560"/>
        <w:rPr>
          <w:sz w:val="28"/>
          <w:szCs w:val="28"/>
        </w:rPr>
      </w:pPr>
      <w:r>
        <w:rPr>
          <w:sz w:val="28"/>
          <w:szCs w:val="28"/>
        </w:rPr>
        <w:t>技术风险主要包括方案风险和设备软件选型风险。</w:t>
      </w:r>
    </w:p>
    <w:p>
      <w:pPr>
        <w:ind w:firstLine="560"/>
        <w:rPr>
          <w:sz w:val="28"/>
          <w:szCs w:val="28"/>
        </w:rPr>
      </w:pPr>
      <w:r>
        <w:rPr>
          <w:sz w:val="28"/>
          <w:szCs w:val="28"/>
        </w:rPr>
        <w:t>方案风险也就是路径风险，通过选择什么道路，从哪里入手来进行建设，确定进行各功能模块建设的先后顺序。方案风险实际决定了项目的整个战略成败。</w:t>
      </w:r>
    </w:p>
    <w:p>
      <w:pPr>
        <w:ind w:firstLine="560"/>
        <w:rPr>
          <w:sz w:val="28"/>
          <w:szCs w:val="28"/>
        </w:rPr>
      </w:pPr>
      <w:r>
        <w:rPr>
          <w:sz w:val="28"/>
          <w:szCs w:val="28"/>
        </w:rPr>
        <w:t>由于目前各种软硬件产品非常多，不同应用平台和不同的开发工具，甚至不同的硬件集成，都将决定平台信息系统未来的效率、维护成本和转移成本，一旦软件选型和设备选择不好，必将导致将来的维护成本非常高，转型困难或更新换代风险的增加，限制长远发展。</w:t>
      </w:r>
    </w:p>
    <w:p>
      <w:pPr>
        <w:ind w:firstLine="560"/>
        <w:rPr>
          <w:sz w:val="28"/>
          <w:szCs w:val="28"/>
        </w:rPr>
      </w:pPr>
      <w:r>
        <w:rPr>
          <w:sz w:val="28"/>
          <w:szCs w:val="28"/>
        </w:rPr>
        <w:t>在项目建设之前，对项目进行充分分析论证，尽可能采用较为成熟的技术方案。在软件和设备选型中，相关技术人员要及早介入，要坚持先进性和可靠性相结合的原则，选择高性价比的产品。</w:t>
      </w:r>
    </w:p>
    <w:p>
      <w:pPr>
        <w:pStyle w:val="5"/>
      </w:pPr>
      <w:r>
        <w:t>安全风险</w:t>
      </w:r>
    </w:p>
    <w:p>
      <w:pPr>
        <w:ind w:firstLine="560"/>
        <w:rPr>
          <w:sz w:val="28"/>
          <w:szCs w:val="28"/>
        </w:rPr>
      </w:pPr>
      <w:r>
        <w:rPr>
          <w:sz w:val="28"/>
          <w:szCs w:val="28"/>
        </w:rPr>
        <w:t>《国家信息化领导小组关于加强信息安全保障工作的意见（中办发〔2003〕27号）》、《国家网络与信息安全协调小组关于开展信息安全风险评估工作的意见（国信办〔2006〕5号）》等相关文件都明确提出信息安全风险评估的必要性，及对信息安全风险评估工作的重视。安全风险是信息安全保障工作的基础和重要环节，是从风险管理角度，运用科学方法和手段，系统分析网络与信息系统所面临的威胁及其存在的脆弱性，评估安全事件一旦发生可能造成的危害程度，提出有针对性的抵御威胁的防护对策和整改措施。风险评估工作贯穿信息系统整个生命周期，包括规划阶段、设计阶段、实施阶段、运行阶段、废弃阶段等。</w:t>
      </w:r>
    </w:p>
    <w:p>
      <w:pPr>
        <w:pStyle w:val="5"/>
      </w:pPr>
      <w:r>
        <w:t>人力资源风险</w:t>
      </w:r>
    </w:p>
    <w:p>
      <w:pPr>
        <w:ind w:firstLine="560"/>
        <w:rPr>
          <w:sz w:val="28"/>
          <w:szCs w:val="28"/>
        </w:rPr>
      </w:pPr>
      <w:r>
        <w:rPr>
          <w:sz w:val="28"/>
          <w:szCs w:val="28"/>
        </w:rPr>
        <w:t>本项目在建设和运行期间需要大量的既具有信息系统专业知识，又对各部门业务工作较为熟悉的专业技术人员参与系统的开发以及运行后的日常维护和开发、挖掘工作，这些人才在长期工作中会积累许多经验，掌握核心技术。如果出现关键人才跳槽的情况时，会对整个信息共享平台的正常工作产生较大影响，带来一定风险。</w:t>
      </w:r>
    </w:p>
    <w:p>
      <w:pPr>
        <w:pStyle w:val="5"/>
      </w:pPr>
      <w:r>
        <w:t>运行风险</w:t>
      </w:r>
    </w:p>
    <w:p>
      <w:pPr>
        <w:ind w:firstLine="560"/>
        <w:rPr>
          <w:sz w:val="28"/>
          <w:szCs w:val="28"/>
        </w:rPr>
      </w:pPr>
      <w:r>
        <w:rPr>
          <w:sz w:val="28"/>
          <w:szCs w:val="28"/>
        </w:rPr>
        <w:t>项目建成后，各个业务处室的业务和监管功能都是通过网络实现的，而且数据库中会保存有相关企业的许多信息机数据资料，计算机网络将统一信息平台和数据中心的重要组成部分，因此，在运行过程中存在计算机网络安全的风险。</w:t>
      </w:r>
    </w:p>
    <w:p>
      <w:pPr>
        <w:pStyle w:val="4"/>
      </w:pPr>
      <w:bookmarkStart w:id="187" w:name="_Toc97654098"/>
      <w:bookmarkStart w:id="188" w:name="_Toc81322788"/>
      <w:r>
        <w:t>风险对策</w:t>
      </w:r>
      <w:bookmarkEnd w:id="187"/>
      <w:bookmarkEnd w:id="188"/>
    </w:p>
    <w:p>
      <w:pPr>
        <w:pStyle w:val="5"/>
      </w:pPr>
      <w:r>
        <w:t>风险管理原则</w:t>
      </w:r>
    </w:p>
    <w:p>
      <w:pPr>
        <w:ind w:firstLine="560"/>
        <w:rPr>
          <w:sz w:val="28"/>
          <w:szCs w:val="28"/>
        </w:rPr>
      </w:pPr>
      <w:r>
        <w:rPr>
          <w:sz w:val="28"/>
          <w:szCs w:val="28"/>
        </w:rPr>
        <w:t>（1）设立专职的项目风险控制人员，并定期向上汇报；</w:t>
      </w:r>
    </w:p>
    <w:p>
      <w:pPr>
        <w:ind w:firstLine="560"/>
        <w:rPr>
          <w:sz w:val="28"/>
          <w:szCs w:val="28"/>
        </w:rPr>
      </w:pPr>
      <w:r>
        <w:rPr>
          <w:sz w:val="28"/>
          <w:szCs w:val="28"/>
        </w:rPr>
        <w:t>（2）全员参与风险监视；</w:t>
      </w:r>
    </w:p>
    <w:p>
      <w:pPr>
        <w:ind w:firstLine="560"/>
        <w:rPr>
          <w:sz w:val="28"/>
          <w:szCs w:val="28"/>
        </w:rPr>
      </w:pPr>
      <w:r>
        <w:rPr>
          <w:sz w:val="28"/>
          <w:szCs w:val="28"/>
        </w:rPr>
        <w:t>（3）识别风险后，及时汇报、酌情处理、专人落实。</w:t>
      </w:r>
    </w:p>
    <w:p>
      <w:pPr>
        <w:pStyle w:val="5"/>
      </w:pPr>
      <w:r>
        <w:t>风险过程管理</w:t>
      </w:r>
    </w:p>
    <w:p>
      <w:pPr>
        <w:ind w:firstLine="560"/>
        <w:rPr>
          <w:sz w:val="28"/>
          <w:szCs w:val="28"/>
        </w:rPr>
      </w:pPr>
      <w:r>
        <w:rPr>
          <w:sz w:val="28"/>
          <w:szCs w:val="28"/>
        </w:rPr>
        <w:t>每个项目不同阶段开始前，必须重新识别、定性分析、定量分析风险；整体的风险评估报告有效期不得超过1个月，超过1个月的报告必须更新；重大风险事件报告不能超过48小时。</w:t>
      </w:r>
    </w:p>
    <w:p>
      <w:pPr>
        <w:pStyle w:val="5"/>
      </w:pPr>
      <w:r>
        <w:t>风险跟踪与记录</w:t>
      </w:r>
    </w:p>
    <w:p>
      <w:pPr>
        <w:ind w:firstLine="560"/>
        <w:rPr>
          <w:sz w:val="28"/>
          <w:szCs w:val="28"/>
        </w:rPr>
      </w:pPr>
      <w:r>
        <w:rPr>
          <w:sz w:val="28"/>
          <w:szCs w:val="28"/>
        </w:rPr>
        <w:t>将项目风险应对计划表张贴在公告栏上，定期或不定期组织风险分析会，对实施过程中的变化及时向项目经理和相关人员进行反馈并及时修正其应对计划；运用各种控制文档和表格，用于对本项目的管理、监察、经验教训的总结和日后项目的指导。</w:t>
      </w:r>
    </w:p>
    <w:p>
      <w:pPr>
        <w:pStyle w:val="5"/>
      </w:pPr>
      <w:r>
        <w:t>应对风险的方法</w:t>
      </w:r>
    </w:p>
    <w:p>
      <w:pPr>
        <w:ind w:firstLine="560"/>
        <w:rPr>
          <w:sz w:val="28"/>
          <w:szCs w:val="28"/>
        </w:rPr>
      </w:pPr>
      <w:r>
        <w:rPr>
          <w:sz w:val="28"/>
          <w:szCs w:val="28"/>
        </w:rPr>
        <w:t>确定风险发生时的后备资源，包括资金、设备、人员等，定期检查风险后备资源的可用性和高效性；确定风险检查时间表，确定并定期更新风险检查列表。定期编排每月风险事件排行榜，制订风险应对措施，定期检查并更新风险控制机制。</w:t>
      </w:r>
    </w:p>
    <w:p>
      <w:pPr>
        <w:ind w:firstLine="560"/>
        <w:rPr>
          <w:sz w:val="28"/>
          <w:szCs w:val="28"/>
        </w:rPr>
      </w:pPr>
    </w:p>
    <w:p>
      <w:pPr>
        <w:pStyle w:val="2"/>
        <w:ind w:firstLine="643"/>
        <w:rPr>
          <w:sz w:val="28"/>
          <w:szCs w:val="28"/>
        </w:rPr>
      </w:pPr>
      <w:bookmarkStart w:id="189" w:name="_Toc97654099"/>
      <w:r>
        <w:rPr>
          <w:sz w:val="28"/>
          <w:szCs w:val="28"/>
        </w:rPr>
        <w:t>设备清单</w:t>
      </w:r>
      <w:bookmarkEnd w:id="189"/>
    </w:p>
    <w:p>
      <w:pPr>
        <w:pStyle w:val="3"/>
      </w:pPr>
      <w:bookmarkStart w:id="190" w:name="_Toc97654100"/>
      <w:r>
        <w:t>软件设备清单</w:t>
      </w:r>
      <w:bookmarkEnd w:id="190"/>
    </w:p>
    <w:tbl>
      <w:tblPr>
        <w:tblStyle w:val="77"/>
        <w:tblW w:w="5000" w:type="pct"/>
        <w:tblInd w:w="0" w:type="dxa"/>
        <w:tblLayout w:type="autofit"/>
        <w:tblCellMar>
          <w:top w:w="0" w:type="dxa"/>
          <w:left w:w="108" w:type="dxa"/>
          <w:bottom w:w="0" w:type="dxa"/>
          <w:right w:w="108" w:type="dxa"/>
        </w:tblCellMar>
      </w:tblPr>
      <w:tblGrid>
        <w:gridCol w:w="896"/>
        <w:gridCol w:w="1623"/>
        <w:gridCol w:w="2235"/>
        <w:gridCol w:w="4488"/>
      </w:tblGrid>
      <w:tr>
        <w:trPr>
          <w:trHeight w:val="90" w:hRule="atLeast"/>
        </w:trPr>
        <w:tc>
          <w:tcPr>
            <w:tcW w:w="5000" w:type="pct"/>
            <w:gridSpan w:val="4"/>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软件开发</w:t>
            </w:r>
          </w:p>
        </w:tc>
      </w:tr>
      <w:tr>
        <w:trPr>
          <w:trHeight w:val="46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序号</w:t>
            </w:r>
          </w:p>
        </w:tc>
        <w:tc>
          <w:tcPr>
            <w:tcW w:w="878" w:type="pct"/>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系统</w:t>
            </w:r>
          </w:p>
        </w:tc>
        <w:tc>
          <w:tcPr>
            <w:tcW w:w="1209" w:type="pct"/>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模块</w:t>
            </w:r>
          </w:p>
        </w:tc>
        <w:tc>
          <w:tcPr>
            <w:tcW w:w="2426" w:type="pct"/>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子模块及主要参数</w:t>
            </w:r>
          </w:p>
        </w:tc>
      </w:tr>
      <w:tr>
        <w:trPr>
          <w:trHeight w:val="38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数据支撑平台</w:t>
            </w: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指挥舱</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企业监控统计</w:t>
            </w:r>
          </w:p>
        </w:tc>
      </w:tr>
      <w:tr>
        <w:trPr>
          <w:trHeight w:val="33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最新报警列表</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r>
      <w:tr>
        <w:trPr>
          <w:trHeight w:val="40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行业类型分布</w:t>
            </w:r>
          </w:p>
        </w:tc>
      </w:tr>
      <w:tr>
        <w:trPr>
          <w:trHeight w:val="34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固体废物统计</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消息提醒</w:t>
            </w:r>
          </w:p>
        </w:tc>
      </w:tr>
      <w:tr>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地图</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企业位置</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一企一档</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9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报告查询</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产废管理计划</w:t>
            </w:r>
          </w:p>
        </w:tc>
      </w:tr>
      <w:tr>
        <w:trPr>
          <w:trHeight w:val="38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经营管理计划</w:t>
            </w:r>
          </w:p>
        </w:tc>
      </w:tr>
      <w:tr>
        <w:trPr>
          <w:trHeight w:val="40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月度申报计划</w:t>
            </w:r>
          </w:p>
        </w:tc>
      </w:tr>
      <w:tr>
        <w:trPr>
          <w:trHeight w:val="37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收集记录查询</w:t>
            </w:r>
          </w:p>
        </w:tc>
      </w:tr>
      <w:tr>
        <w:trPr>
          <w:trHeight w:val="37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许可证书查询</w:t>
            </w:r>
          </w:p>
        </w:tc>
      </w:tr>
      <w:tr>
        <w:trPr>
          <w:trHeight w:val="46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一般固废申报查询（产废）</w:t>
            </w:r>
          </w:p>
        </w:tc>
      </w:tr>
      <w:tr>
        <w:trPr>
          <w:trHeight w:val="35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一般固废申报查询（经营）</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智能监控</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地磅分析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车牌信息</w:t>
            </w:r>
          </w:p>
        </w:tc>
      </w:tr>
      <w:tr>
        <w:trPr>
          <w:trHeight w:val="27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电子秤信息</w:t>
            </w:r>
          </w:p>
        </w:tc>
      </w:tr>
      <w:tr>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19</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工艺展示</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视频信息</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智能工况</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数据展示</w:t>
            </w:r>
          </w:p>
        </w:tc>
      </w:tr>
      <w:tr>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智能核算</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r>
      <w:tr>
        <w:trPr>
          <w:trHeight w:val="33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r>
      <w:tr>
        <w:trPr>
          <w:trHeight w:val="391"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r>
      <w:tr>
        <w:trPr>
          <w:trHeight w:val="501"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危废全生命周期监管</w:t>
            </w: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基础信息、产废信息、贮存点信息、库存信息等</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r>
      <w:tr>
        <w:trPr>
          <w:trHeight w:val="34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申报数据分析</w:t>
            </w:r>
          </w:p>
        </w:tc>
      </w:tr>
      <w:tr>
        <w:trPr>
          <w:trHeight w:val="32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产废入库合理性分析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库存分析</w:t>
            </w:r>
          </w:p>
        </w:tc>
      </w:tr>
      <w:tr>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36</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移动端APP</w:t>
            </w: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首页</w:t>
            </w:r>
          </w:p>
        </w:tc>
        <w:tc>
          <w:tcPr>
            <w:tcW w:w="2426" w:type="pct"/>
            <w:tcBorders>
              <w:top w:val="nil"/>
              <w:left w:val="nil"/>
              <w:bottom w:val="single" w:color="000000" w:sz="8" w:space="0"/>
              <w:right w:val="single" w:color="000000" w:sz="8" w:space="0"/>
            </w:tcBorders>
            <w:noWrap/>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消息提示</w:t>
            </w:r>
          </w:p>
        </w:tc>
      </w:tr>
      <w:tr>
        <w:trPr>
          <w:trHeight w:val="34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报警通知</w:t>
            </w:r>
          </w:p>
        </w:tc>
      </w:tr>
      <w:tr>
        <w:trPr>
          <w:trHeight w:val="3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市域总废物情况统计</w:t>
            </w:r>
          </w:p>
        </w:tc>
      </w:tr>
      <w:tr>
        <w:trPr>
          <w:trHeight w:val="35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39</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各区县危废情况统计</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预警</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分析</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r>
      <w:tr>
        <w:trPr>
          <w:trHeight w:val="361"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r>
      <w:tr>
        <w:trPr>
          <w:trHeight w:val="37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全过程</w:t>
            </w:r>
          </w:p>
        </w:tc>
      </w:tr>
      <w:tr>
        <w:trPr>
          <w:trHeight w:val="30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区县全过程</w:t>
            </w:r>
          </w:p>
        </w:tc>
      </w:tr>
      <w:tr>
        <w:trPr>
          <w:trHeight w:val="37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企业危废信息</w:t>
            </w:r>
          </w:p>
        </w:tc>
      </w:tr>
      <w:tr>
        <w:trPr>
          <w:trHeight w:val="41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49</w:t>
            </w:r>
          </w:p>
        </w:tc>
        <w:tc>
          <w:tcPr>
            <w:tcW w:w="878"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子用户危废信息录入</w:t>
            </w:r>
          </w:p>
        </w:tc>
      </w:tr>
      <w:tr>
        <w:trPr>
          <w:trHeight w:val="403"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支撑平台</w:t>
            </w: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档案管理模块</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33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工业数据中心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38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运营监控中心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36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数据配置中心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34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消息推送引擎</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10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互联网数据采集引擎</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486"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数据交换平台</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企业端数据接入、平台数据与省级数据对接</w:t>
            </w:r>
          </w:p>
        </w:tc>
      </w:tr>
      <w:tr>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文件服务</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9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流媒体服务</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300" w:hRule="atLeast"/>
        </w:trPr>
        <w:tc>
          <w:tcPr>
            <w:tcW w:w="485" w:type="pct"/>
            <w:tcBorders>
              <w:top w:val="nil"/>
              <w:left w:val="single" w:color="000000" w:sz="8" w:space="0"/>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59</w:t>
            </w:r>
          </w:p>
        </w:tc>
        <w:tc>
          <w:tcPr>
            <w:tcW w:w="878" w:type="pct"/>
            <w:vMerge w:val="continue"/>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服务</w:t>
            </w:r>
          </w:p>
        </w:tc>
        <w:tc>
          <w:tcPr>
            <w:tcW w:w="2426" w:type="pct"/>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rPr>
          <w:trHeight w:val="300" w:hRule="atLeast"/>
        </w:trPr>
        <w:tc>
          <w:tcPr>
            <w:tcW w:w="485"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60</w:t>
            </w:r>
          </w:p>
        </w:tc>
        <w:tc>
          <w:tcPr>
            <w:tcW w:w="878"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数据对接</w:t>
            </w:r>
          </w:p>
        </w:tc>
        <w:tc>
          <w:tcPr>
            <w:tcW w:w="242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r>
      <w:tr>
        <w:trPr>
          <w:trHeight w:val="300" w:hRule="atLeast"/>
        </w:trPr>
        <w:tc>
          <w:tcPr>
            <w:tcW w:w="485"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61</w:t>
            </w:r>
          </w:p>
        </w:tc>
        <w:tc>
          <w:tcPr>
            <w:tcW w:w="87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网络安全</w:t>
            </w:r>
          </w:p>
        </w:tc>
        <w:tc>
          <w:tcPr>
            <w:tcW w:w="1209"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等保测评</w:t>
            </w:r>
          </w:p>
        </w:tc>
        <w:tc>
          <w:tcPr>
            <w:tcW w:w="242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r>
    </w:tbl>
    <w:p>
      <w:pPr>
        <w:ind w:firstLine="640"/>
        <w:sectPr>
          <w:footerReference r:id="rId14" w:type="first"/>
          <w:footerReference r:id="rId13" w:type="default"/>
          <w:pgSz w:w="11906" w:h="16838"/>
          <w:pgMar w:top="1247" w:right="1440" w:bottom="1247" w:left="1440" w:header="851" w:footer="992" w:gutter="0"/>
          <w:pgNumType w:start="1"/>
          <w:cols w:space="720" w:num="1"/>
          <w:titlePg/>
          <w:docGrid w:type="lines" w:linePitch="312" w:charSpace="0"/>
        </w:sectPr>
      </w:pPr>
    </w:p>
    <w:p>
      <w:pPr>
        <w:pStyle w:val="3"/>
      </w:pPr>
      <w:bookmarkStart w:id="191" w:name="_Toc97654101"/>
      <w:r>
        <w:t>投资估算清单</w:t>
      </w:r>
      <w:bookmarkEnd w:id="191"/>
    </w:p>
    <w:tbl>
      <w:tblPr>
        <w:tblStyle w:val="77"/>
        <w:tblpPr w:leftFromText="180" w:rightFromText="180" w:vertAnchor="text" w:horzAnchor="page" w:tblpX="1005" w:tblpY="469"/>
        <w:tblOverlap w:val="never"/>
        <w:tblW w:w="10247" w:type="dxa"/>
        <w:tblInd w:w="0" w:type="dxa"/>
        <w:tblLayout w:type="fixed"/>
        <w:tblCellMar>
          <w:top w:w="0" w:type="dxa"/>
          <w:left w:w="108" w:type="dxa"/>
          <w:bottom w:w="0" w:type="dxa"/>
          <w:right w:w="108" w:type="dxa"/>
        </w:tblCellMar>
      </w:tblPr>
      <w:tblGrid>
        <w:gridCol w:w="698"/>
        <w:gridCol w:w="1613"/>
        <w:gridCol w:w="2244"/>
        <w:gridCol w:w="3767"/>
        <w:gridCol w:w="1925"/>
      </w:tblGrid>
      <w:tr>
        <w:trPr>
          <w:trHeight w:val="300" w:hRule="atLeast"/>
        </w:trPr>
        <w:tc>
          <w:tcPr>
            <w:tcW w:w="10247" w:type="dxa"/>
            <w:gridSpan w:val="5"/>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软件开发</w:t>
            </w:r>
          </w:p>
        </w:tc>
      </w:tr>
      <w:tr>
        <w:trPr>
          <w:trHeight w:val="46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序号</w:t>
            </w:r>
          </w:p>
        </w:tc>
        <w:tc>
          <w:tcPr>
            <w:tcW w:w="1613"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系统</w:t>
            </w:r>
          </w:p>
        </w:tc>
        <w:tc>
          <w:tcPr>
            <w:tcW w:w="2244"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模块</w:t>
            </w:r>
          </w:p>
        </w:tc>
        <w:tc>
          <w:tcPr>
            <w:tcW w:w="3767"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子模块及主要参数</w:t>
            </w:r>
          </w:p>
        </w:tc>
        <w:tc>
          <w:tcPr>
            <w:tcW w:w="1925"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金额（元）</w:t>
            </w:r>
          </w:p>
        </w:tc>
      </w:tr>
      <w:tr>
        <w:trPr>
          <w:trHeight w:val="38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数据支撑平台</w:t>
            </w: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指挥舱</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企业监控统计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4833</w:t>
            </w:r>
          </w:p>
        </w:tc>
      </w:tr>
      <w:tr>
        <w:trPr>
          <w:trHeight w:val="33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最新报警列表</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rPr>
          <w:trHeight w:val="40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行业类型分布</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11167</w:t>
            </w:r>
          </w:p>
        </w:tc>
      </w:tr>
      <w:tr>
        <w:trPr>
          <w:trHeight w:val="34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固体废物统计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16100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地图</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企业位置</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一企一档</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7333</w:t>
            </w:r>
          </w:p>
        </w:tc>
      </w:tr>
      <w:tr>
        <w:trPr>
          <w:trHeight w:val="9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报告查询</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产废管理计划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5333</w:t>
            </w:r>
          </w:p>
        </w:tc>
      </w:tr>
      <w:tr>
        <w:trPr>
          <w:trHeight w:val="38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经营管理计划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5333</w:t>
            </w:r>
          </w:p>
        </w:tc>
      </w:tr>
      <w:tr>
        <w:trPr>
          <w:trHeight w:val="40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月度申报计划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5967</w:t>
            </w:r>
          </w:p>
        </w:tc>
      </w:tr>
      <w:tr>
        <w:trPr>
          <w:trHeight w:val="37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收集记录查询</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5400</w:t>
            </w:r>
          </w:p>
        </w:tc>
      </w:tr>
      <w:tr>
        <w:trPr>
          <w:trHeight w:val="37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许可证书查询</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rPr>
          <w:trHeight w:val="46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一般固废申报查询（产废）</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rPr>
          <w:trHeight w:val="35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一般固废申报查询（经营）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智能监控</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地磅分析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10666</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车牌信息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rPr>
          <w:trHeight w:val="27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电子秤信息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5500</w:t>
            </w:r>
          </w:p>
        </w:tc>
      </w:tr>
      <w:tr>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工艺展示</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16500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15500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智能工况</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数据展示</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16000</w:t>
            </w:r>
          </w:p>
        </w:tc>
      </w:tr>
      <w:tr>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智能核算</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31666</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28666</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rPr>
          <w:trHeight w:val="33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rPr>
          <w:trHeight w:val="391"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22000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21333</w:t>
            </w:r>
          </w:p>
        </w:tc>
      </w:tr>
      <w:tr>
        <w:trPr>
          <w:trHeight w:val="501"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危废全生命周期监管</w:t>
            </w: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基础信息、产废信息、贮存点信息、库存信息等</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rPr>
          <w:trHeight w:val="34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申报数据分析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17000</w:t>
            </w:r>
          </w:p>
        </w:tc>
      </w:tr>
      <w:tr>
        <w:trPr>
          <w:trHeight w:val="32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产废入库合理性分析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库存分析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14333</w:t>
            </w:r>
          </w:p>
        </w:tc>
      </w:tr>
      <w:tr>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18000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36</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移动端APP</w:t>
            </w: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首页</w:t>
            </w:r>
          </w:p>
        </w:tc>
        <w:tc>
          <w:tcPr>
            <w:tcW w:w="3767" w:type="dxa"/>
            <w:tcBorders>
              <w:top w:val="nil"/>
              <w:left w:val="nil"/>
              <w:bottom w:val="single" w:color="000000" w:sz="8" w:space="0"/>
              <w:right w:val="single" w:color="000000" w:sz="8" w:space="0"/>
            </w:tcBorders>
            <w:noWrap/>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消息提示</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3000</w:t>
            </w:r>
          </w:p>
        </w:tc>
      </w:tr>
      <w:tr>
        <w:trPr>
          <w:trHeight w:val="34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报警通知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2767</w:t>
            </w:r>
          </w:p>
        </w:tc>
      </w:tr>
      <w:tr>
        <w:trPr>
          <w:trHeight w:val="3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市域总废物情况统计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2933</w:t>
            </w:r>
          </w:p>
        </w:tc>
      </w:tr>
      <w:tr>
        <w:trPr>
          <w:trHeight w:val="35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各区县危废情况统计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2933</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预警</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分析</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2967</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rPr>
          <w:trHeight w:val="361"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rPr>
          <w:trHeight w:val="37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全过程</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2985</w:t>
            </w:r>
          </w:p>
        </w:tc>
      </w:tr>
      <w:tr>
        <w:trPr>
          <w:trHeight w:val="30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区县全过程</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2961</w:t>
            </w:r>
          </w:p>
        </w:tc>
      </w:tr>
      <w:tr>
        <w:trPr>
          <w:trHeight w:val="37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企业危废信息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2994</w:t>
            </w:r>
          </w:p>
        </w:tc>
      </w:tr>
      <w:tr>
        <w:trPr>
          <w:trHeight w:val="41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49</w:t>
            </w:r>
          </w:p>
        </w:tc>
        <w:tc>
          <w:tcPr>
            <w:tcW w:w="1613"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子用户危废信息录入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35000</w:t>
            </w:r>
          </w:p>
        </w:tc>
      </w:tr>
      <w:tr>
        <w:trPr>
          <w:trHeight w:val="403"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支撑平台</w:t>
            </w: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档案管理模块</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25000</w:t>
            </w:r>
          </w:p>
        </w:tc>
      </w:tr>
      <w:tr>
        <w:trPr>
          <w:trHeight w:val="33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工业数据中心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47666</w:t>
            </w:r>
          </w:p>
        </w:tc>
      </w:tr>
      <w:tr>
        <w:trPr>
          <w:trHeight w:val="38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运营监控中心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40000</w:t>
            </w:r>
          </w:p>
        </w:tc>
      </w:tr>
      <w:tr>
        <w:trPr>
          <w:trHeight w:val="36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数据配置中心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38666</w:t>
            </w:r>
          </w:p>
        </w:tc>
      </w:tr>
      <w:tr>
        <w:trPr>
          <w:trHeight w:val="34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消息推送引擎</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29333</w:t>
            </w:r>
          </w:p>
        </w:tc>
      </w:tr>
      <w:tr>
        <w:trPr>
          <w:trHeight w:val="41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互联网数据采集引擎</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30667</w:t>
            </w:r>
          </w:p>
        </w:tc>
      </w:tr>
      <w:tr>
        <w:trPr>
          <w:trHeight w:val="486"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数据交换平台</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企业端数据接入、平台数据与省级数据对接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43800</w:t>
            </w:r>
          </w:p>
        </w:tc>
      </w:tr>
      <w:tr>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文件服务</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30666</w:t>
            </w:r>
          </w:p>
        </w:tc>
      </w:tr>
      <w:tr>
        <w:trPr>
          <w:trHeight w:val="9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流媒体服务</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36000</w:t>
            </w:r>
          </w:p>
        </w:tc>
      </w:tr>
      <w:tr>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服务</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25000</w:t>
            </w:r>
          </w:p>
        </w:tc>
      </w:tr>
      <w:tr>
        <w:trPr>
          <w:trHeight w:val="300" w:hRule="atLeast"/>
        </w:trPr>
        <w:tc>
          <w:tcPr>
            <w:tcW w:w="698" w:type="dxa"/>
            <w:tcBorders>
              <w:top w:val="nil"/>
              <w:left w:val="single" w:color="000000" w:sz="8" w:space="0"/>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60</w:t>
            </w:r>
          </w:p>
        </w:tc>
        <w:tc>
          <w:tcPr>
            <w:tcW w:w="1613" w:type="dxa"/>
            <w:vMerge w:val="continue"/>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数据对接</w:t>
            </w:r>
          </w:p>
        </w:tc>
        <w:tc>
          <w:tcPr>
            <w:tcW w:w="3767" w:type="dxa"/>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28000</w:t>
            </w:r>
          </w:p>
        </w:tc>
      </w:tr>
      <w:tr>
        <w:trPr>
          <w:trHeight w:val="300"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61</w:t>
            </w:r>
          </w:p>
        </w:tc>
        <w:tc>
          <w:tcPr>
            <w:tcW w:w="161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网络安全</w:t>
            </w:r>
          </w:p>
        </w:tc>
        <w:tc>
          <w:tcPr>
            <w:tcW w:w="224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等保测评</w:t>
            </w:r>
          </w:p>
        </w:tc>
        <w:tc>
          <w:tcPr>
            <w:tcW w:w="376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70000</w:t>
            </w:r>
          </w:p>
        </w:tc>
      </w:tr>
      <w:tr>
        <w:trPr>
          <w:trHeight w:val="300" w:hRule="atLeast"/>
        </w:trPr>
        <w:tc>
          <w:tcPr>
            <w:tcW w:w="8322" w:type="dxa"/>
            <w:gridSpan w:val="4"/>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总计</w:t>
            </w:r>
          </w:p>
        </w:tc>
        <w:tc>
          <w:tcPr>
            <w:tcW w:w="192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949300</w:t>
            </w:r>
          </w:p>
        </w:tc>
      </w:tr>
    </w:tbl>
    <w:p>
      <w:pPr>
        <w:spacing w:line="560" w:lineRule="exact"/>
        <w:ind w:firstLine="640"/>
        <w:rPr>
          <w:rFonts w:ascii="楷体" w:hAnsi="楷体"/>
          <w:szCs w:val="32"/>
        </w:rPr>
      </w:pPr>
    </w:p>
    <w:p>
      <w:pPr>
        <w:ind w:firstLine="640"/>
      </w:pPr>
    </w:p>
    <w:sectPr>
      <w:pgSz w:w="11906" w:h="16838"/>
      <w:pgMar w:top="1247" w:right="1440" w:bottom="1247" w:left="1440" w:header="851" w:footer="992" w:gutter="0"/>
      <w:cols w:space="720" w:num="1"/>
      <w:titlePg/>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Tahoma">
    <w:panose1 w:val="020B0604030504040204"/>
    <w:charset w:val="00"/>
    <w:family w:val="swiss"/>
    <w:pitch w:val="default"/>
    <w:sig w:usb0="E1002AFF" w:usb1="C000605B" w:usb2="00000029" w:usb3="00000000" w:csb0="200101FF" w:csb1="2028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汉仪楷体简"/>
    <w:panose1 w:val="00000000000000000000"/>
    <w:charset w:val="86"/>
    <w:family w:val="modern"/>
    <w:pitch w:val="default"/>
    <w:sig w:usb0="00000000" w:usb1="00000000" w:usb2="00000010" w:usb3="00000000" w:csb0="00040000" w:csb1="00000000"/>
  </w:font>
  <w:font w:name="幼圆">
    <w:altName w:val="华文宋体"/>
    <w:panose1 w:val="0201050906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Verdana">
    <w:panose1 w:val="020B0804030504040204"/>
    <w:charset w:val="00"/>
    <w:family w:val="swiss"/>
    <w:pitch w:val="default"/>
    <w:sig w:usb0="A10006FF" w:usb1="4000205B" w:usb2="00000010" w:usb3="00000000" w:csb0="2000019F" w:csb1="00000000"/>
  </w:font>
  <w:font w:name="DFKai-SB">
    <w:altName w:val="苹方-简"/>
    <w:panose1 w:val="00000000000000000000"/>
    <w:charset w:val="88"/>
    <w:family w:val="script"/>
    <w:pitch w:val="default"/>
    <w:sig w:usb0="00000000" w:usb1="00000000"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ヒラギノ角ゴ Pro W3">
    <w:panose1 w:val="020B0300000000000000"/>
    <w:charset w:val="80"/>
    <w:family w:val="auto"/>
    <w:pitch w:val="default"/>
    <w:sig w:usb0="E00002FF" w:usb1="7AE7FFFF" w:usb2="00000012" w:usb3="00000000" w:csb0="0002000D" w:csb1="00000000"/>
  </w:font>
  <w:font w:name="方正小标宋_GBK">
    <w:altName w:val="汉仪书宋二KW"/>
    <w:panose1 w:val="02000000000000000000"/>
    <w:charset w:val="86"/>
    <w:family w:val="script"/>
    <w:pitch w:val="default"/>
    <w:sig w:usb0="00000000" w:usb1="00000000" w:usb2="00000000" w:usb3="00000000" w:csb0="00040000" w:csb1="00000000"/>
  </w:font>
  <w:font w:name="新宋体">
    <w:altName w:val="方正书宋_GBK"/>
    <w:panose1 w:val="02010609030101010101"/>
    <w:charset w:val="86"/>
    <w:family w:val="modern"/>
    <w:pitch w:val="default"/>
    <w:sig w:usb0="00000000" w:usb1="00000000" w:usb2="00000016" w:usb3="00000000" w:csb0="00040001" w:csb1="00000000"/>
  </w:font>
  <w:font w:name="CMKAI G+ Futura">
    <w:altName w:val="苹方-简"/>
    <w:panose1 w:val="00000000000000000000"/>
    <w:charset w:val="86"/>
    <w:family w:val="swiss"/>
    <w:pitch w:val="default"/>
    <w:sig w:usb0="00000000" w:usb1="00000000" w:usb2="00000010" w:usb3="00000000" w:csb0="00040000" w:csb1="00000000"/>
  </w:font>
  <w:font w:name="文鼎CS中宋">
    <w:altName w:val="汉仪书宋二KW"/>
    <w:panose1 w:val="00000000000000000000"/>
    <w:charset w:val="86"/>
    <w:family w:val="modern"/>
    <w:pitch w:val="default"/>
    <w:sig w:usb0="00000000" w:usb1="00000000" w:usb2="00000010" w:usb3="00000000" w:csb0="00040000" w:csb1="00000000"/>
  </w:font>
  <w:font w:name="Arial Rounded MT Bold">
    <w:panose1 w:val="020F0704030504030204"/>
    <w:charset w:val="00"/>
    <w:family w:val="swiss"/>
    <w:pitch w:val="default"/>
    <w:sig w:usb0="00000003" w:usb1="00000000" w:usb2="00000000" w:usb3="00000000" w:csb0="20000001" w:csb1="00000000"/>
  </w:font>
  <w:font w:name="Book Antiqua">
    <w:altName w:val="苹方-简"/>
    <w:panose1 w:val="02040602050305030304"/>
    <w:charset w:val="00"/>
    <w:family w:val="roman"/>
    <w:pitch w:val="default"/>
    <w:sig w:usb0="00000000" w:usb1="00000000" w:usb2="00000000" w:usb3="00000000" w:csb0="0000009F" w:csb1="00000000"/>
  </w:font>
  <w:font w:name="MS Outlook">
    <w:altName w:val="Times New Roman"/>
    <w:panose1 w:val="05010100010000000000"/>
    <w:charset w:val="02"/>
    <w:family w:val="auto"/>
    <w:pitch w:val="default"/>
    <w:sig w:usb0="00000000" w:usb1="00000000" w:usb2="00000000" w:usb3="00000000" w:csb0="80000000" w:csb1="00000000"/>
  </w:font>
  <w:font w:name="方正黑体_GBK">
    <w:altName w:val="汉仪中黑KW"/>
    <w:panose1 w:val="02000000000000000000"/>
    <w:charset w:val="86"/>
    <w:family w:val="script"/>
    <w:pitch w:val="default"/>
    <w:sig w:usb0="00000000" w:usb1="00000000" w:usb2="00000000" w:usb3="00000000" w:csb0="00040000" w:csb1="00000000"/>
  </w:font>
  <w:font w:name="文鼎CS大隶书">
    <w:altName w:val="宋体-简"/>
    <w:panose1 w:val="00000000000000000000"/>
    <w:charset w:val="86"/>
    <w:family w:val="modern"/>
    <w:pitch w:val="default"/>
    <w:sig w:usb0="00000000" w:usb1="00000000" w:usb2="00000010" w:usb3="00000000" w:csb0="00040000" w:csb1="00000000"/>
  </w:font>
  <w:font w:name="方正大标宋简体">
    <w:altName w:val="汉仪书宋二KW"/>
    <w:panose1 w:val="00000000000000000000"/>
    <w:charset w:val="86"/>
    <w:family w:val="auto"/>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font>
  <w:font w:name="文鼎CS细等线">
    <w:altName w:val="苹方-简"/>
    <w:panose1 w:val="00000000000000000000"/>
    <w:charset w:val="86"/>
    <w:family w:val="modern"/>
    <w:pitch w:val="default"/>
    <w:sig w:usb0="00000000" w:usb1="00000000" w:usb2="00000010" w:usb3="00000000" w:csb0="00040000" w:csb1="00000000"/>
  </w:font>
  <w:font w:name="Cambria">
    <w:altName w:val="苹方-简"/>
    <w:panose1 w:val="02040503050406030204"/>
    <w:charset w:val="00"/>
    <w:family w:val="roman"/>
    <w:pitch w:val="default"/>
    <w:sig w:usb0="00000000" w:usb1="00000000" w:usb2="02000000"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正文 CS 字体)">
    <w:altName w:val="Times New Roman"/>
    <w:panose1 w:val="00000000000000000000"/>
    <w:charset w:val="86"/>
    <w:family w:val="roman"/>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楷体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 w:name="华文宋体">
    <w:panose1 w:val="02010600040101010101"/>
    <w:charset w:val="86"/>
    <w:family w:val="auto"/>
    <w:pitch w:val="default"/>
    <w:sig w:usb0="80000287" w:usb1="280F3C52" w:usb2="00000016" w:usb3="00000000" w:csb0="0004001F" w:csb1="00000000"/>
  </w:font>
  <w:font w:name="苹方-简">
    <w:panose1 w:val="020B0400000000000000"/>
    <w:charset w:val="86"/>
    <w:family w:val="auto"/>
    <w:pitch w:val="default"/>
    <w:sig w:usb0="A00002FF" w:usb1="7ACFFDFB" w:usb2="00000017" w:usb3="00000000" w:csb0="00040001" w:csb1="00000000"/>
  </w:font>
  <w:font w:name="方正书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jc w:val="center"/>
    </w:pPr>
  </w:p>
  <w:p>
    <w:pPr>
      <w:pStyle w:val="4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jc w:val="center"/>
    </w:pPr>
  </w:p>
  <w:p>
    <w:pPr>
      <w:pStyle w:val="4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48"/>
          <w:ind w:firstLine="360"/>
          <w:jc w:val="center"/>
        </w:pPr>
        <w:r>
          <w:fldChar w:fldCharType="begin"/>
        </w:r>
        <w:r>
          <w:instrText xml:space="preserve">PAGE   \* MERGEFORMAT</w:instrText>
        </w:r>
        <w:r>
          <w:fldChar w:fldCharType="separate"/>
        </w:r>
        <w:r>
          <w:rPr>
            <w:lang w:val="zh-CN"/>
          </w:rPr>
          <w:t>1</w:t>
        </w:r>
        <w:r>
          <w:fldChar w:fldCharType="end"/>
        </w:r>
      </w:p>
    </w:sdtContent>
  </w:sdt>
  <w:p>
    <w:pPr>
      <w:pStyle w:val="4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48"/>
          <w:ind w:firstLine="360"/>
          <w:jc w:val="center"/>
        </w:pPr>
        <w:r>
          <w:fldChar w:fldCharType="begin"/>
        </w:r>
        <w:r>
          <w:instrText xml:space="preserve">PAGE   \* MERGEFORMAT</w:instrText>
        </w:r>
        <w:r>
          <w:fldChar w:fldCharType="separate"/>
        </w:r>
        <w:r>
          <w:rPr>
            <w:lang w:val="zh-CN"/>
          </w:rPr>
          <w:t>45</w:t>
        </w:r>
        <w:r>
          <w:fldChar w:fldCharType="end"/>
        </w:r>
      </w:p>
    </w:sdtContent>
  </w:sdt>
  <w:p>
    <w:pPr>
      <w:pStyle w:val="48"/>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48"/>
          <w:ind w:firstLine="360"/>
          <w:jc w:val="center"/>
        </w:pPr>
        <w:r>
          <w:fldChar w:fldCharType="begin"/>
        </w:r>
        <w:r>
          <w:instrText xml:space="preserve">PAGE   \* MERGEFORMAT</w:instrText>
        </w:r>
        <w:r>
          <w:fldChar w:fldCharType="separate"/>
        </w:r>
        <w:r>
          <w:rPr>
            <w:lang w:val="zh-CN"/>
          </w:rPr>
          <w:t>1</w:t>
        </w:r>
        <w:r>
          <w:fldChar w:fldCharType="end"/>
        </w:r>
      </w:p>
    </w:sdtContent>
  </w:sdt>
  <w:p>
    <w:pPr>
      <w:pStyle w:val="4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56"/>
      <w:lvlText w:val="%1."/>
      <w:lvlJc w:val="left"/>
      <w:pPr>
        <w:tabs>
          <w:tab w:val="left" w:pos="2270"/>
        </w:tabs>
        <w:ind w:left="2270" w:leftChars="800" w:hanging="360" w:hangingChars="200"/>
      </w:pPr>
    </w:lvl>
  </w:abstractNum>
  <w:abstractNum w:abstractNumId="1">
    <w:nsid w:val="FFFFFF7D"/>
    <w:multiLevelType w:val="singleLevel"/>
    <w:tmpl w:val="FFFFFF7D"/>
    <w:lvl w:ilvl="0" w:tentative="0">
      <w:start w:val="1"/>
      <w:numFmt w:val="decimal"/>
      <w:pStyle w:val="4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1"/>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3"/>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0"/>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6"/>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28"/>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35"/>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1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1"/>
      <w:lvlText w:val=""/>
      <w:lvlJc w:val="left"/>
      <w:pPr>
        <w:tabs>
          <w:tab w:val="left" w:pos="360"/>
        </w:tabs>
        <w:ind w:left="360" w:hanging="360" w:hangingChars="200"/>
      </w:pPr>
      <w:rPr>
        <w:rFonts w:hint="default" w:ascii="Wingdings" w:hAnsi="Wingdings"/>
      </w:rPr>
    </w:lvl>
  </w:abstractNum>
  <w:abstractNum w:abstractNumId="10">
    <w:nsid w:val="00000019"/>
    <w:multiLevelType w:val="multilevel"/>
    <w:tmpl w:val="00000019"/>
    <w:lvl w:ilvl="0" w:tentative="0">
      <w:start w:val="1"/>
      <w:numFmt w:val="japaneseCounting"/>
      <w:pStyle w:val="36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2E65EE9"/>
    <w:multiLevelType w:val="multilevel"/>
    <w:tmpl w:val="02E65EE9"/>
    <w:lvl w:ilvl="0" w:tentative="0">
      <w:start w:val="1"/>
      <w:numFmt w:val="bullet"/>
      <w:lvlText w:val=""/>
      <w:lvlJc w:val="left"/>
      <w:pPr>
        <w:ind w:left="940" w:hanging="420"/>
      </w:pPr>
      <w:rPr>
        <w:rFonts w:hint="default" w:ascii="Wingdings" w:hAnsi="Wingdings"/>
      </w:rPr>
    </w:lvl>
    <w:lvl w:ilvl="1" w:tentative="0">
      <w:start w:val="1"/>
      <w:numFmt w:val="bullet"/>
      <w:lvlText w:val=""/>
      <w:lvlJc w:val="left"/>
      <w:pPr>
        <w:ind w:left="1360" w:hanging="420"/>
      </w:pPr>
      <w:rPr>
        <w:rFonts w:hint="default" w:ascii="Wingdings" w:hAnsi="Wingdings"/>
      </w:rPr>
    </w:lvl>
    <w:lvl w:ilvl="2" w:tentative="0">
      <w:start w:val="1"/>
      <w:numFmt w:val="bullet"/>
      <w:lvlText w:val=""/>
      <w:lvlJc w:val="left"/>
      <w:pPr>
        <w:ind w:left="1780" w:hanging="420"/>
      </w:pPr>
      <w:rPr>
        <w:rFonts w:hint="default" w:ascii="Wingdings" w:hAnsi="Wingdings"/>
      </w:rPr>
    </w:lvl>
    <w:lvl w:ilvl="3" w:tentative="0">
      <w:start w:val="1"/>
      <w:numFmt w:val="bullet"/>
      <w:lvlText w:val=""/>
      <w:lvlJc w:val="left"/>
      <w:pPr>
        <w:ind w:left="2200" w:hanging="420"/>
      </w:pPr>
      <w:rPr>
        <w:rFonts w:hint="default" w:ascii="Wingdings" w:hAnsi="Wingdings"/>
      </w:rPr>
    </w:lvl>
    <w:lvl w:ilvl="4" w:tentative="0">
      <w:start w:val="1"/>
      <w:numFmt w:val="bullet"/>
      <w:lvlText w:val=""/>
      <w:lvlJc w:val="left"/>
      <w:pPr>
        <w:ind w:left="2620" w:hanging="420"/>
      </w:pPr>
      <w:rPr>
        <w:rFonts w:hint="default" w:ascii="Wingdings" w:hAnsi="Wingdings"/>
      </w:rPr>
    </w:lvl>
    <w:lvl w:ilvl="5" w:tentative="0">
      <w:start w:val="1"/>
      <w:numFmt w:val="bullet"/>
      <w:lvlText w:val=""/>
      <w:lvlJc w:val="left"/>
      <w:pPr>
        <w:ind w:left="3040" w:hanging="420"/>
      </w:pPr>
      <w:rPr>
        <w:rFonts w:hint="default" w:ascii="Wingdings" w:hAnsi="Wingdings"/>
      </w:rPr>
    </w:lvl>
    <w:lvl w:ilvl="6" w:tentative="0">
      <w:start w:val="1"/>
      <w:numFmt w:val="bullet"/>
      <w:lvlText w:val=""/>
      <w:lvlJc w:val="left"/>
      <w:pPr>
        <w:ind w:left="3460" w:hanging="420"/>
      </w:pPr>
      <w:rPr>
        <w:rFonts w:hint="default" w:ascii="Wingdings" w:hAnsi="Wingdings"/>
      </w:rPr>
    </w:lvl>
    <w:lvl w:ilvl="7" w:tentative="0">
      <w:start w:val="1"/>
      <w:numFmt w:val="bullet"/>
      <w:lvlText w:val=""/>
      <w:lvlJc w:val="left"/>
      <w:pPr>
        <w:ind w:left="3880" w:hanging="420"/>
      </w:pPr>
      <w:rPr>
        <w:rFonts w:hint="default" w:ascii="Wingdings" w:hAnsi="Wingdings"/>
      </w:rPr>
    </w:lvl>
    <w:lvl w:ilvl="8" w:tentative="0">
      <w:start w:val="1"/>
      <w:numFmt w:val="bullet"/>
      <w:lvlText w:val=""/>
      <w:lvlJc w:val="left"/>
      <w:pPr>
        <w:ind w:left="4300" w:hanging="420"/>
      </w:pPr>
      <w:rPr>
        <w:rFonts w:hint="default" w:ascii="Wingdings" w:hAnsi="Wingdings"/>
      </w:rPr>
    </w:lvl>
  </w:abstractNum>
  <w:abstractNum w:abstractNumId="12">
    <w:nsid w:val="030B7485"/>
    <w:multiLevelType w:val="multilevel"/>
    <w:tmpl w:val="030B7485"/>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6267E50"/>
    <w:multiLevelType w:val="multilevel"/>
    <w:tmpl w:val="06267E50"/>
    <w:lvl w:ilvl="0" w:tentative="0">
      <w:start w:val="1"/>
      <w:numFmt w:val="decimal"/>
      <w:pStyle w:val="287"/>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4">
    <w:nsid w:val="06784D56"/>
    <w:multiLevelType w:val="singleLevel"/>
    <w:tmpl w:val="06784D56"/>
    <w:lvl w:ilvl="0" w:tentative="0">
      <w:start w:val="1"/>
      <w:numFmt w:val="upperLetter"/>
      <w:pStyle w:val="185"/>
      <w:lvlText w:val="附录%1."/>
      <w:lvlJc w:val="left"/>
      <w:pPr>
        <w:tabs>
          <w:tab w:val="left" w:pos="907"/>
        </w:tabs>
        <w:ind w:left="907" w:hanging="907"/>
      </w:pPr>
      <w:rPr>
        <w:rFonts w:hint="eastAsia"/>
      </w:rPr>
    </w:lvl>
  </w:abstractNum>
  <w:abstractNum w:abstractNumId="15">
    <w:nsid w:val="08DC223A"/>
    <w:multiLevelType w:val="multilevel"/>
    <w:tmpl w:val="08DC223A"/>
    <w:lvl w:ilvl="0" w:tentative="0">
      <w:start w:val="1"/>
      <w:numFmt w:val="chineseCountingThousand"/>
      <w:pStyle w:val="535"/>
      <w:lvlText w:val="%1、"/>
      <w:lvlJc w:val="left"/>
      <w:pPr>
        <w:ind w:left="0" w:firstLine="0"/>
      </w:pPr>
      <w:rPr>
        <w:rFonts w:hint="eastAsia"/>
      </w:rPr>
    </w:lvl>
    <w:lvl w:ilvl="1" w:tentative="0">
      <w:start w:val="1"/>
      <w:numFmt w:val="decimal"/>
      <w:pStyle w:val="532"/>
      <w:isLgl/>
      <w:lvlText w:val="%1.%2"/>
      <w:lvlJc w:val="left"/>
      <w:pPr>
        <w:ind w:left="0" w:firstLine="0"/>
      </w:pPr>
      <w:rPr>
        <w:rFonts w:hint="eastAsia"/>
      </w:rPr>
    </w:lvl>
    <w:lvl w:ilvl="2" w:tentative="0">
      <w:start w:val="1"/>
      <w:numFmt w:val="decimal"/>
      <w:pStyle w:val="531"/>
      <w:isLgl/>
      <w:lvlText w:val="%1.%2.%3"/>
      <w:lvlJc w:val="left"/>
      <w:pPr>
        <w:ind w:left="0" w:firstLine="0"/>
      </w:pPr>
      <w:rPr>
        <w:rFonts w:hint="eastAsia"/>
      </w:rPr>
    </w:lvl>
    <w:lvl w:ilvl="3" w:tentative="0">
      <w:start w:val="1"/>
      <w:numFmt w:val="decimal"/>
      <w:pStyle w:val="533"/>
      <w:isLgl/>
      <w:lvlText w:val="%1.%2.%3.%4"/>
      <w:lvlJc w:val="left"/>
      <w:pPr>
        <w:ind w:left="0" w:firstLine="0"/>
      </w:pPr>
      <w:rPr>
        <w:rFonts w:hint="eastAsia"/>
      </w:rPr>
    </w:lvl>
    <w:lvl w:ilvl="4" w:tentative="0">
      <w:start w:val="1"/>
      <w:numFmt w:val="decimal"/>
      <w:pStyle w:val="534"/>
      <w:isLg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
    <w:nsid w:val="0B475D87"/>
    <w:multiLevelType w:val="multilevel"/>
    <w:tmpl w:val="0B475D87"/>
    <w:lvl w:ilvl="0" w:tentative="0">
      <w:start w:val="1"/>
      <w:numFmt w:val="bullet"/>
      <w:pStyle w:val="104"/>
      <w:lvlText w:val=""/>
      <w:lvlJc w:val="left"/>
      <w:pPr>
        <w:tabs>
          <w:tab w:val="left" w:pos="980"/>
        </w:tabs>
        <w:ind w:left="980" w:hanging="420"/>
      </w:pPr>
      <w:rPr>
        <w:rFonts w:hint="default" w:ascii="Wingdings" w:hAnsi="Wingdings"/>
        <w:sz w:val="24"/>
      </w:rPr>
    </w:lvl>
    <w:lvl w:ilvl="1" w:tentative="0">
      <w:start w:val="1"/>
      <w:numFmt w:val="bullet"/>
      <w:lvlText w:val=""/>
      <w:lvlJc w:val="left"/>
      <w:pPr>
        <w:tabs>
          <w:tab w:val="left" w:pos="1400"/>
        </w:tabs>
        <w:ind w:left="1400" w:hanging="420"/>
      </w:pPr>
      <w:rPr>
        <w:rFonts w:hint="default" w:ascii="Wingdings" w:hAnsi="Wingdings"/>
        <w:sz w:val="28"/>
        <w:szCs w:val="28"/>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7">
    <w:nsid w:val="128076F6"/>
    <w:multiLevelType w:val="multilevel"/>
    <w:tmpl w:val="128076F6"/>
    <w:lvl w:ilvl="0" w:tentative="0">
      <w:start w:val="1"/>
      <w:numFmt w:val="bullet"/>
      <w:lvlText w:val=""/>
      <w:lvlJc w:val="left"/>
      <w:pPr>
        <w:ind w:left="940" w:hanging="420"/>
      </w:pPr>
      <w:rPr>
        <w:rFonts w:hint="default" w:ascii="Wingdings" w:hAnsi="Wingdings"/>
      </w:rPr>
    </w:lvl>
    <w:lvl w:ilvl="1" w:tentative="0">
      <w:start w:val="1"/>
      <w:numFmt w:val="bullet"/>
      <w:lvlText w:val=""/>
      <w:lvlJc w:val="left"/>
      <w:pPr>
        <w:ind w:left="1360" w:hanging="420"/>
      </w:pPr>
      <w:rPr>
        <w:rFonts w:hint="default" w:ascii="Wingdings" w:hAnsi="Wingdings"/>
      </w:rPr>
    </w:lvl>
    <w:lvl w:ilvl="2" w:tentative="0">
      <w:start w:val="1"/>
      <w:numFmt w:val="bullet"/>
      <w:lvlText w:val=""/>
      <w:lvlJc w:val="left"/>
      <w:pPr>
        <w:ind w:left="1780" w:hanging="420"/>
      </w:pPr>
      <w:rPr>
        <w:rFonts w:hint="default" w:ascii="Wingdings" w:hAnsi="Wingdings"/>
      </w:rPr>
    </w:lvl>
    <w:lvl w:ilvl="3" w:tentative="0">
      <w:start w:val="1"/>
      <w:numFmt w:val="bullet"/>
      <w:lvlText w:val=""/>
      <w:lvlJc w:val="left"/>
      <w:pPr>
        <w:ind w:left="2200" w:hanging="420"/>
      </w:pPr>
      <w:rPr>
        <w:rFonts w:hint="default" w:ascii="Wingdings" w:hAnsi="Wingdings"/>
      </w:rPr>
    </w:lvl>
    <w:lvl w:ilvl="4" w:tentative="0">
      <w:start w:val="1"/>
      <w:numFmt w:val="bullet"/>
      <w:lvlText w:val=""/>
      <w:lvlJc w:val="left"/>
      <w:pPr>
        <w:ind w:left="2620" w:hanging="420"/>
      </w:pPr>
      <w:rPr>
        <w:rFonts w:hint="default" w:ascii="Wingdings" w:hAnsi="Wingdings"/>
      </w:rPr>
    </w:lvl>
    <w:lvl w:ilvl="5" w:tentative="0">
      <w:start w:val="1"/>
      <w:numFmt w:val="bullet"/>
      <w:lvlText w:val=""/>
      <w:lvlJc w:val="left"/>
      <w:pPr>
        <w:ind w:left="3040" w:hanging="420"/>
      </w:pPr>
      <w:rPr>
        <w:rFonts w:hint="default" w:ascii="Wingdings" w:hAnsi="Wingdings"/>
      </w:rPr>
    </w:lvl>
    <w:lvl w:ilvl="6" w:tentative="0">
      <w:start w:val="1"/>
      <w:numFmt w:val="bullet"/>
      <w:lvlText w:val=""/>
      <w:lvlJc w:val="left"/>
      <w:pPr>
        <w:ind w:left="3460" w:hanging="420"/>
      </w:pPr>
      <w:rPr>
        <w:rFonts w:hint="default" w:ascii="Wingdings" w:hAnsi="Wingdings"/>
      </w:rPr>
    </w:lvl>
    <w:lvl w:ilvl="7" w:tentative="0">
      <w:start w:val="1"/>
      <w:numFmt w:val="bullet"/>
      <w:lvlText w:val=""/>
      <w:lvlJc w:val="left"/>
      <w:pPr>
        <w:ind w:left="3880" w:hanging="420"/>
      </w:pPr>
      <w:rPr>
        <w:rFonts w:hint="default" w:ascii="Wingdings" w:hAnsi="Wingdings"/>
      </w:rPr>
    </w:lvl>
    <w:lvl w:ilvl="8" w:tentative="0">
      <w:start w:val="1"/>
      <w:numFmt w:val="bullet"/>
      <w:lvlText w:val=""/>
      <w:lvlJc w:val="left"/>
      <w:pPr>
        <w:ind w:left="4300" w:hanging="420"/>
      </w:pPr>
      <w:rPr>
        <w:rFonts w:hint="default" w:ascii="Wingdings" w:hAnsi="Wingdings"/>
      </w:rPr>
    </w:lvl>
  </w:abstractNum>
  <w:abstractNum w:abstractNumId="18">
    <w:nsid w:val="14AD7314"/>
    <w:multiLevelType w:val="multilevel"/>
    <w:tmpl w:val="14AD7314"/>
    <w:lvl w:ilvl="0" w:tentative="0">
      <w:start w:val="1"/>
      <w:numFmt w:val="bullet"/>
      <w:pStyle w:val="442"/>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19">
    <w:nsid w:val="1A973CAD"/>
    <w:multiLevelType w:val="singleLevel"/>
    <w:tmpl w:val="1A973CAD"/>
    <w:lvl w:ilvl="0" w:tentative="0">
      <w:start w:val="1"/>
      <w:numFmt w:val="decimal"/>
      <w:pStyle w:val="240"/>
      <w:lvlText w:val="%1、"/>
      <w:lvlJc w:val="left"/>
      <w:pPr>
        <w:tabs>
          <w:tab w:val="left" w:pos="720"/>
        </w:tabs>
        <w:ind w:left="0" w:firstLine="0"/>
      </w:pPr>
      <w:rPr>
        <w:rFonts w:hint="eastAsia"/>
      </w:rPr>
    </w:lvl>
  </w:abstractNum>
  <w:abstractNum w:abstractNumId="20">
    <w:nsid w:val="20993991"/>
    <w:multiLevelType w:val="multilevel"/>
    <w:tmpl w:val="20993991"/>
    <w:lvl w:ilvl="0" w:tentative="0">
      <w:start w:val="1"/>
      <w:numFmt w:val="decimal"/>
      <w:pStyle w:val="188"/>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1">
    <w:nsid w:val="22AC5719"/>
    <w:multiLevelType w:val="multilevel"/>
    <w:tmpl w:val="22AC5719"/>
    <w:lvl w:ilvl="0" w:tentative="0">
      <w:start w:val="1"/>
      <w:numFmt w:val="bullet"/>
      <w:pStyle w:val="12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2">
    <w:nsid w:val="295966DC"/>
    <w:multiLevelType w:val="multilevel"/>
    <w:tmpl w:val="295966D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31"/>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29903595"/>
    <w:multiLevelType w:val="multilevel"/>
    <w:tmpl w:val="29903595"/>
    <w:lvl w:ilvl="0" w:tentative="0">
      <w:start w:val="1"/>
      <w:numFmt w:val="bullet"/>
      <w:pStyle w:val="445"/>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2E9A7954"/>
    <w:multiLevelType w:val="multilevel"/>
    <w:tmpl w:val="2E9A795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2692CD5"/>
    <w:multiLevelType w:val="multilevel"/>
    <w:tmpl w:val="32692C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36E35B38"/>
    <w:multiLevelType w:val="multilevel"/>
    <w:tmpl w:val="36E35B38"/>
    <w:lvl w:ilvl="0" w:tentative="0">
      <w:start w:val="1"/>
      <w:numFmt w:val="chineseCountingThousand"/>
      <w:pStyle w:val="2"/>
      <w:lvlText w:val="%1、"/>
      <w:lvlJc w:val="left"/>
      <w:pPr>
        <w:ind w:left="0" w:firstLine="0"/>
      </w:pPr>
      <w:rPr>
        <w:rFonts w:hint="eastAsia"/>
        <w:color w:val="auto"/>
      </w:rPr>
    </w:lvl>
    <w:lvl w:ilvl="1" w:tentative="0">
      <w:start w:val="1"/>
      <w:numFmt w:val="decimal"/>
      <w:pStyle w:val="3"/>
      <w:isLgl/>
      <w:lvlText w:val="%1.%2"/>
      <w:lvlJc w:val="left"/>
      <w:pPr>
        <w:ind w:left="0" w:firstLine="0"/>
      </w:pPr>
      <w:rPr>
        <w:rFonts w:hint="eastAsia"/>
      </w:rPr>
    </w:lvl>
    <w:lvl w:ilvl="2" w:tentative="0">
      <w:start w:val="1"/>
      <w:numFmt w:val="decimal"/>
      <w:pStyle w:val="4"/>
      <w:isLgl/>
      <w:lvlText w:val="%1.%2.%3"/>
      <w:lvlJc w:val="left"/>
      <w:pPr>
        <w:ind w:left="0" w:firstLine="0"/>
      </w:pPr>
      <w:rPr>
        <w:rFonts w:hint="eastAsia"/>
        <w:b/>
      </w:rPr>
    </w:lvl>
    <w:lvl w:ilvl="3" w:tentative="0">
      <w:start w:val="1"/>
      <w:numFmt w:val="decimal"/>
      <w:pStyle w:val="5"/>
      <w:isLgl/>
      <w:lvlText w:val="%1.%2.%3.%4"/>
      <w:lvlJc w:val="left"/>
      <w:pPr>
        <w:ind w:left="141"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6"/>
      <w:isLgl/>
      <w:lvlText w:val="%1.%2.%3.%4.%5"/>
      <w:lvlJc w:val="left"/>
      <w:pPr>
        <w:ind w:left="0" w:firstLine="0"/>
      </w:pPr>
      <w:rPr>
        <w:rFonts w:hint="eastAsia"/>
      </w:rPr>
    </w:lvl>
    <w:lvl w:ilvl="5" w:tentative="0">
      <w:start w:val="1"/>
      <w:numFmt w:val="decimal"/>
      <w:pStyle w:val="7"/>
      <w:isLgl/>
      <w:lvlText w:val="%1.%2.%3.%4.%5.%6"/>
      <w:lvlJc w:val="left"/>
      <w:pPr>
        <w:ind w:left="0" w:firstLine="0"/>
      </w:pPr>
      <w:rPr>
        <w:rFonts w:hint="eastAsia"/>
      </w:rPr>
    </w:lvl>
    <w:lvl w:ilvl="6" w:tentative="0">
      <w:start w:val="1"/>
      <w:numFmt w:val="decimal"/>
      <w:pStyle w:val="8"/>
      <w:isLgl/>
      <w:lvlText w:val="%1.%2.%3.%4.%5.%6.%7"/>
      <w:lvlJc w:val="left"/>
      <w:pPr>
        <w:ind w:left="0" w:firstLine="0"/>
      </w:pPr>
      <w:rPr>
        <w:rFonts w:hint="eastAsia"/>
      </w:rPr>
    </w:lvl>
    <w:lvl w:ilvl="7" w:tentative="0">
      <w:start w:val="1"/>
      <w:numFmt w:val="decimal"/>
      <w:pStyle w:val="9"/>
      <w:isLgl/>
      <w:lvlText w:val="%1.%2.%3.%4.%5.%6.%7.%8"/>
      <w:lvlJc w:val="left"/>
      <w:pPr>
        <w:ind w:left="0" w:firstLine="0"/>
      </w:pPr>
      <w:rPr>
        <w:rFonts w:hint="eastAsia"/>
      </w:rPr>
    </w:lvl>
    <w:lvl w:ilvl="8" w:tentative="0">
      <w:start w:val="1"/>
      <w:numFmt w:val="decimal"/>
      <w:pStyle w:val="10"/>
      <w:isLgl/>
      <w:suff w:val="space"/>
      <w:lvlText w:val="%1.%2.%3.%4.%5.%6.%7.%8.%9"/>
      <w:lvlJc w:val="left"/>
      <w:pPr>
        <w:ind w:left="0" w:firstLine="0"/>
      </w:pPr>
      <w:rPr>
        <w:rFonts w:hint="eastAsia"/>
      </w:rPr>
    </w:lvl>
  </w:abstractNum>
  <w:abstractNum w:abstractNumId="27">
    <w:nsid w:val="3753313C"/>
    <w:multiLevelType w:val="multilevel"/>
    <w:tmpl w:val="3753313C"/>
    <w:lvl w:ilvl="0" w:tentative="0">
      <w:start w:val="1"/>
      <w:numFmt w:val="decimal"/>
      <w:lvlText w:val="%1"/>
      <w:lvlJc w:val="left"/>
      <w:pPr>
        <w:ind w:left="0" w:firstLine="0"/>
      </w:pPr>
      <w:rPr>
        <w:rFonts w:hint="default"/>
      </w:rPr>
    </w:lvl>
    <w:lvl w:ilvl="1" w:tentative="0">
      <w:start w:val="1"/>
      <w:numFmt w:val="decimal"/>
      <w:pStyle w:val="524"/>
      <w:suff w:val="space"/>
      <w:lvlText w:val="%1.%2"/>
      <w:lvlJc w:val="left"/>
      <w:pPr>
        <w:ind w:left="0" w:firstLine="0"/>
      </w:pPr>
      <w:rPr>
        <w:rFonts w:hint="eastAsia"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26"/>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8">
    <w:nsid w:val="3A1A4883"/>
    <w:multiLevelType w:val="multilevel"/>
    <w:tmpl w:val="3A1A48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D971A5C"/>
    <w:multiLevelType w:val="multilevel"/>
    <w:tmpl w:val="3D971A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5CF45146"/>
    <w:multiLevelType w:val="multilevel"/>
    <w:tmpl w:val="5CF45146"/>
    <w:lvl w:ilvl="0" w:tentative="0">
      <w:start w:val="1"/>
      <w:numFmt w:val="decimal"/>
      <w:lvlText w:val="%1"/>
      <w:lvlJc w:val="left"/>
      <w:pPr>
        <w:tabs>
          <w:tab w:val="left" w:pos="425"/>
        </w:tabs>
        <w:ind w:left="425" w:hanging="425"/>
      </w:pPr>
    </w:lvl>
    <w:lvl w:ilvl="1" w:tentative="0">
      <w:start w:val="1"/>
      <w:numFmt w:val="decimal"/>
      <w:pStyle w:val="357"/>
      <w:lvlText w:val="%1.%2"/>
      <w:lvlJc w:val="left"/>
      <w:pPr>
        <w:tabs>
          <w:tab w:val="left" w:pos="992"/>
        </w:tabs>
        <w:ind w:left="992" w:hanging="567"/>
      </w:pPr>
    </w:lvl>
    <w:lvl w:ilvl="2" w:tentative="0">
      <w:start w:val="1"/>
      <w:numFmt w:val="decimal"/>
      <w:lvlText w:val="%1.%2.%3"/>
      <w:lvlJc w:val="left"/>
      <w:pPr>
        <w:tabs>
          <w:tab w:val="left" w:pos="1571"/>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4351"/>
        </w:tabs>
        <w:ind w:left="3827" w:hanging="1276"/>
      </w:pPr>
    </w:lvl>
    <w:lvl w:ilvl="7" w:tentative="0">
      <w:start w:val="1"/>
      <w:numFmt w:val="decimal"/>
      <w:lvlText w:val="%1.%2.%3.%4.%5.%6.%7.%8"/>
      <w:lvlJc w:val="left"/>
      <w:pPr>
        <w:tabs>
          <w:tab w:val="left" w:pos="4776"/>
        </w:tabs>
        <w:ind w:left="4394" w:hanging="1418"/>
      </w:pPr>
    </w:lvl>
    <w:lvl w:ilvl="8" w:tentative="0">
      <w:start w:val="1"/>
      <w:numFmt w:val="decimal"/>
      <w:lvlText w:val="%1.%2.%3.%4.%5.%6.%7.%8.%9"/>
      <w:lvlJc w:val="left"/>
      <w:pPr>
        <w:tabs>
          <w:tab w:val="left" w:pos="5562"/>
        </w:tabs>
        <w:ind w:left="5102" w:hanging="1700"/>
      </w:pPr>
    </w:lvl>
  </w:abstractNum>
  <w:abstractNum w:abstractNumId="31">
    <w:nsid w:val="5ED72482"/>
    <w:multiLevelType w:val="multilevel"/>
    <w:tmpl w:val="5ED72482"/>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default" w:asciiTheme="majorHAnsi" w:hAnsiTheme="majorHAnsi"/>
        <w:b/>
      </w:rPr>
    </w:lvl>
    <w:lvl w:ilvl="4" w:tentative="0">
      <w:start w:val="1"/>
      <w:numFmt w:val="decimal"/>
      <w:lvlText w:val="%1.%2.%3.%4.%5."/>
      <w:lvlJc w:val="left"/>
      <w:pPr>
        <w:ind w:left="0" w:firstLine="0"/>
      </w:pPr>
      <w:rPr>
        <w:rFonts w:hint="default" w:asciiTheme="majorHAnsi" w:hAnsiTheme="majorHAnsi"/>
        <w:b/>
      </w:rPr>
    </w:lvl>
    <w:lvl w:ilvl="5" w:tentative="0">
      <w:start w:val="1"/>
      <w:numFmt w:val="decimal"/>
      <w:pStyle w:val="133"/>
      <w:lvlText w:val="%1.%2.%3.%4.%5.%6."/>
      <w:lvlJc w:val="left"/>
      <w:pPr>
        <w:ind w:left="0" w:firstLine="0"/>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609B6CE9"/>
    <w:multiLevelType w:val="multilevel"/>
    <w:tmpl w:val="609B6CE9"/>
    <w:lvl w:ilvl="0" w:tentative="0">
      <w:start w:val="1"/>
      <w:numFmt w:val="bullet"/>
      <w:pStyle w:val="461"/>
      <w:lvlText w:val=""/>
      <w:lvlJc w:val="left"/>
      <w:pPr>
        <w:tabs>
          <w:tab w:val="left" w:pos="480"/>
        </w:tabs>
        <w:ind w:left="480" w:firstLine="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3">
    <w:nsid w:val="657D3FBC"/>
    <w:multiLevelType w:val="multilevel"/>
    <w:tmpl w:val="657D3FBC"/>
    <w:lvl w:ilvl="0" w:tentative="0">
      <w:start w:val="1"/>
      <w:numFmt w:val="upperLetter"/>
      <w:pStyle w:val="385"/>
      <w:suff w:val="nothing"/>
      <w:lvlText w:val="附　录　%1"/>
      <w:lvlJc w:val="left"/>
      <w:pPr>
        <w:ind w:left="0" w:firstLine="0"/>
      </w:pPr>
      <w:rPr>
        <w:rFonts w:cs="Times New Roman"/>
        <w:b w:val="0"/>
        <w:bCs w:val="0"/>
        <w:i w:val="0"/>
        <w:iCs w:val="0"/>
        <w:caps w:val="0"/>
        <w:smallCaps w:val="0"/>
        <w:strike w:val="0"/>
        <w:dstrike w:val="0"/>
        <w:outline w:val="0"/>
        <w:shadow w:val="0"/>
        <w:emboss w:val="0"/>
        <w:imprint w:val="0"/>
        <w:vanish w:val="0"/>
        <w:spacing w:val="0"/>
        <w:position w:val="0"/>
        <w:u w:val="none"/>
        <w:vertAlign w:val="baseline"/>
        <w:lang w:val="en-US"/>
      </w:rPr>
    </w:lvl>
    <w:lvl w:ilvl="1" w:tentative="0">
      <w:start w:val="1"/>
      <w:numFmt w:val="decimal"/>
      <w:pStyle w:val="38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87"/>
      <w:suff w:val="nothing"/>
      <w:lvlText w:val="%1.%2.%3　"/>
      <w:lvlJc w:val="left"/>
      <w:pPr>
        <w:ind w:left="0" w:firstLine="0"/>
      </w:pPr>
      <w:rPr>
        <w:rFonts w:hint="eastAsia" w:ascii="黑体" w:hAnsi="Times New Roman" w:eastAsia="黑体"/>
        <w:b w:val="0"/>
        <w:i w:val="0"/>
        <w:sz w:val="21"/>
      </w:rPr>
    </w:lvl>
    <w:lvl w:ilvl="3" w:tentative="0">
      <w:start w:val="1"/>
      <w:numFmt w:val="decimal"/>
      <w:pStyle w:val="388"/>
      <w:suff w:val="nothing"/>
      <w:lvlText w:val="%1.%2.%3.%4　"/>
      <w:lvlJc w:val="left"/>
      <w:pPr>
        <w:ind w:left="0" w:firstLine="0"/>
      </w:pPr>
      <w:rPr>
        <w:rFonts w:hint="eastAsia" w:ascii="黑体" w:hAnsi="Times New Roman" w:eastAsia="黑体"/>
        <w:b w:val="0"/>
        <w:i w:val="0"/>
        <w:sz w:val="21"/>
      </w:rPr>
    </w:lvl>
    <w:lvl w:ilvl="4" w:tentative="0">
      <w:start w:val="1"/>
      <w:numFmt w:val="decimal"/>
      <w:pStyle w:val="389"/>
      <w:suff w:val="nothing"/>
      <w:lvlText w:val="%1.%2.%3.%4.%5　"/>
      <w:lvlJc w:val="left"/>
      <w:pPr>
        <w:ind w:left="0" w:firstLine="0"/>
      </w:pPr>
      <w:rPr>
        <w:rFonts w:hint="eastAsia" w:ascii="黑体" w:hAnsi="Times New Roman" w:eastAsia="黑体"/>
        <w:b w:val="0"/>
        <w:i w:val="0"/>
        <w:sz w:val="21"/>
      </w:rPr>
    </w:lvl>
    <w:lvl w:ilvl="5" w:tentative="0">
      <w:start w:val="1"/>
      <w:numFmt w:val="decimal"/>
      <w:pStyle w:val="390"/>
      <w:suff w:val="nothing"/>
      <w:lvlText w:val="%1.%2.%3.%4.%5.%6　"/>
      <w:lvlJc w:val="left"/>
      <w:pPr>
        <w:ind w:left="0" w:firstLine="0"/>
      </w:pPr>
      <w:rPr>
        <w:rFonts w:hint="eastAsia" w:ascii="黑体" w:hAnsi="Times New Roman" w:eastAsia="黑体"/>
        <w:b w:val="0"/>
        <w:i w:val="0"/>
        <w:sz w:val="21"/>
      </w:rPr>
    </w:lvl>
    <w:lvl w:ilvl="6" w:tentative="0">
      <w:start w:val="1"/>
      <w:numFmt w:val="decimal"/>
      <w:pStyle w:val="39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97A4C65"/>
    <w:multiLevelType w:val="multilevel"/>
    <w:tmpl w:val="697A4C65"/>
    <w:lvl w:ilvl="0" w:tentative="0">
      <w:start w:val="1"/>
      <w:numFmt w:val="decimal"/>
      <w:pStyle w:val="437"/>
      <w:lvlText w:val="%1."/>
      <w:lvlJc w:val="left"/>
      <w:pPr>
        <w:ind w:left="425" w:hanging="425"/>
      </w:pPr>
      <w:rPr>
        <w:rFonts w:hint="default"/>
        <w:sz w:val="44"/>
        <w:szCs w:val="44"/>
      </w:rPr>
    </w:lvl>
    <w:lvl w:ilvl="1" w:tentative="0">
      <w:start w:val="1"/>
      <w:numFmt w:val="decimal"/>
      <w:lvlText w:val="%1.%2."/>
      <w:lvlJc w:val="left"/>
      <w:pPr>
        <w:ind w:left="567" w:hanging="567"/>
      </w:pPr>
      <w:rPr>
        <w:rFonts w:hint="eastAsia"/>
        <w:lang w:val="en-US"/>
      </w:rPr>
    </w:lvl>
    <w:lvl w:ilvl="2" w:tentative="0">
      <w:start w:val="1"/>
      <w:numFmt w:val="decimal"/>
      <w:pStyle w:val="435"/>
      <w:lvlText w:val="%1.%2.%3."/>
      <w:lvlJc w:val="left"/>
      <w:pPr>
        <w:ind w:left="709" w:hanging="709"/>
      </w:pPr>
      <w:rPr>
        <w:rFonts w:hint="eastAsia"/>
        <w:lang w:val="en-US"/>
      </w:rPr>
    </w:lvl>
    <w:lvl w:ilvl="3" w:tentative="0">
      <w:start w:val="1"/>
      <w:numFmt w:val="decimal"/>
      <w:pStyle w:val="436"/>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6CEA2025"/>
    <w:multiLevelType w:val="multilevel"/>
    <w:tmpl w:val="6CEA2025"/>
    <w:lvl w:ilvl="0" w:tentative="0">
      <w:start w:val="1"/>
      <w:numFmt w:val="none"/>
      <w:pStyle w:val="377"/>
      <w:suff w:val="nothing"/>
      <w:lvlText w:val="%1"/>
      <w:lvlJc w:val="left"/>
      <w:pPr>
        <w:ind w:left="0" w:firstLine="0"/>
      </w:pPr>
      <w:rPr>
        <w:rFonts w:hint="default" w:ascii="Times New Roman" w:hAnsi="Times New Roman"/>
        <w:b/>
        <w:i w:val="0"/>
        <w:sz w:val="21"/>
      </w:rPr>
    </w:lvl>
    <w:lvl w:ilvl="1" w:tentative="0">
      <w:start w:val="1"/>
      <w:numFmt w:val="decimal"/>
      <w:pStyle w:val="379"/>
      <w:suff w:val="nothing"/>
      <w:lvlText w:val="%1%2　"/>
      <w:lvlJc w:val="left"/>
      <w:pPr>
        <w:ind w:left="0" w:firstLine="0"/>
      </w:pPr>
      <w:rPr>
        <w:rFonts w:hint="eastAsia" w:ascii="黑体" w:hAnsi="Times New Roman" w:eastAsia="黑体"/>
        <w:b w:val="0"/>
        <w:i w:val="0"/>
        <w:sz w:val="21"/>
      </w:rPr>
    </w:lvl>
    <w:lvl w:ilvl="2" w:tentative="0">
      <w:start w:val="1"/>
      <w:numFmt w:val="decimal"/>
      <w:pStyle w:val="380"/>
      <w:suff w:val="nothing"/>
      <w:lvlText w:val="%1%2.%3　"/>
      <w:lvlJc w:val="left"/>
      <w:pPr>
        <w:ind w:left="0" w:firstLine="0"/>
      </w:pPr>
      <w:rPr>
        <w:rFonts w:hint="eastAsia" w:ascii="黑体" w:hAnsi="Times New Roman" w:eastAsia="黑体"/>
        <w:b w:val="0"/>
        <w:i w:val="0"/>
        <w:sz w:val="21"/>
      </w:rPr>
    </w:lvl>
    <w:lvl w:ilvl="3" w:tentative="0">
      <w:start w:val="1"/>
      <w:numFmt w:val="decimal"/>
      <w:pStyle w:val="381"/>
      <w:suff w:val="nothing"/>
      <w:lvlText w:val="%1%2.%3.%4　"/>
      <w:lvlJc w:val="left"/>
      <w:pPr>
        <w:ind w:left="0" w:firstLine="0"/>
      </w:pPr>
      <w:rPr>
        <w:rFonts w:hint="eastAsia" w:ascii="黑体" w:hAnsi="Times New Roman" w:eastAsia="黑体"/>
        <w:b w:val="0"/>
        <w:i w:val="0"/>
        <w:sz w:val="21"/>
      </w:rPr>
    </w:lvl>
    <w:lvl w:ilvl="4" w:tentative="0">
      <w:start w:val="1"/>
      <w:numFmt w:val="decimal"/>
      <w:pStyle w:val="382"/>
      <w:suff w:val="nothing"/>
      <w:lvlText w:val="%1%2.%3.%4.%5　"/>
      <w:lvlJc w:val="left"/>
      <w:pPr>
        <w:ind w:left="0" w:firstLine="0"/>
      </w:pPr>
      <w:rPr>
        <w:rFonts w:hint="eastAsia" w:ascii="黑体" w:hAnsi="Times New Roman" w:eastAsia="黑体"/>
        <w:b w:val="0"/>
        <w:i w:val="0"/>
        <w:sz w:val="21"/>
      </w:rPr>
    </w:lvl>
    <w:lvl w:ilvl="5" w:tentative="0">
      <w:start w:val="1"/>
      <w:numFmt w:val="decimal"/>
      <w:pStyle w:val="383"/>
      <w:suff w:val="nothing"/>
      <w:lvlText w:val="%1%2.%3.%4.%5.%6　"/>
      <w:lvlJc w:val="left"/>
      <w:pPr>
        <w:ind w:left="0" w:firstLine="0"/>
      </w:pPr>
      <w:rPr>
        <w:rFonts w:hint="eastAsia" w:ascii="黑体" w:hAnsi="Times New Roman" w:eastAsia="黑体"/>
        <w:b w:val="0"/>
        <w:i w:val="0"/>
        <w:sz w:val="21"/>
      </w:rPr>
    </w:lvl>
    <w:lvl w:ilvl="6" w:tentative="0">
      <w:start w:val="1"/>
      <w:numFmt w:val="decimal"/>
      <w:pStyle w:val="38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6">
    <w:nsid w:val="72FB56BE"/>
    <w:multiLevelType w:val="multilevel"/>
    <w:tmpl w:val="72FB56BE"/>
    <w:lvl w:ilvl="0" w:tentative="0">
      <w:start w:val="1"/>
      <w:numFmt w:val="decimal"/>
      <w:pStyle w:val="466"/>
      <w:lvlText w:val="%1."/>
      <w:lvlJc w:val="left"/>
      <w:pPr>
        <w:ind w:left="425" w:hanging="425"/>
      </w:pPr>
      <w:rPr>
        <w:rFonts w:hint="default"/>
        <w:sz w:val="44"/>
        <w:szCs w:val="44"/>
      </w:rPr>
    </w:lvl>
    <w:lvl w:ilvl="1" w:tentative="0">
      <w:start w:val="1"/>
      <w:numFmt w:val="decimal"/>
      <w:pStyle w:val="468"/>
      <w:lvlText w:val="%1.%2."/>
      <w:lvlJc w:val="left"/>
      <w:pPr>
        <w:ind w:left="567" w:hanging="567"/>
      </w:pPr>
      <w:rPr>
        <w:rFonts w:hint="eastAsia"/>
        <w:lang w:val="en-US"/>
      </w:rPr>
    </w:lvl>
    <w:lvl w:ilvl="2" w:tentative="0">
      <w:start w:val="1"/>
      <w:numFmt w:val="decimal"/>
      <w:pStyle w:val="470"/>
      <w:lvlText w:val="%1.%2.%3."/>
      <w:lvlJc w:val="left"/>
      <w:pPr>
        <w:ind w:left="709" w:hanging="709"/>
      </w:pPr>
      <w:rPr>
        <w:rFonts w:hint="eastAsia"/>
        <w:lang w:val="en-US"/>
      </w:rPr>
    </w:lvl>
    <w:lvl w:ilvl="3" w:tentative="0">
      <w:start w:val="1"/>
      <w:numFmt w:val="decimal"/>
      <w:pStyle w:val="472"/>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7">
    <w:nsid w:val="7ED03306"/>
    <w:multiLevelType w:val="multilevel"/>
    <w:tmpl w:val="7ED03306"/>
    <w:lvl w:ilvl="0" w:tentative="0">
      <w:start w:val="1"/>
      <w:numFmt w:val="bullet"/>
      <w:pStyle w:val="12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8">
    <w:nsid w:val="7F0C3E66"/>
    <w:multiLevelType w:val="multilevel"/>
    <w:tmpl w:val="7F0C3E66"/>
    <w:lvl w:ilvl="0" w:tentative="0">
      <w:start w:val="1"/>
      <w:numFmt w:val="lowerLetter"/>
      <w:pStyle w:val="514"/>
      <w:lvlText w:val="%1."/>
      <w:lvlJc w:val="left"/>
      <w:pPr>
        <w:tabs>
          <w:tab w:val="left" w:pos="840"/>
        </w:tabs>
        <w:ind w:left="840" w:hanging="6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6"/>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16"/>
  </w:num>
  <w:num w:numId="13">
    <w:abstractNumId w:val="21"/>
  </w:num>
  <w:num w:numId="14">
    <w:abstractNumId w:val="37"/>
  </w:num>
  <w:num w:numId="15">
    <w:abstractNumId w:val="22"/>
  </w:num>
  <w:num w:numId="16">
    <w:abstractNumId w:val="31"/>
  </w:num>
  <w:num w:numId="17">
    <w:abstractNumId w:val="14"/>
  </w:num>
  <w:num w:numId="18">
    <w:abstractNumId w:val="20"/>
  </w:num>
  <w:num w:numId="19">
    <w:abstractNumId w:val="19"/>
  </w:num>
  <w:num w:numId="20">
    <w:abstractNumId w:val="13"/>
  </w:num>
  <w:num w:numId="21">
    <w:abstractNumId w:val="30"/>
  </w:num>
  <w:num w:numId="22">
    <w:abstractNumId w:val="10"/>
  </w:num>
  <w:num w:numId="23">
    <w:abstractNumId w:val="35"/>
  </w:num>
  <w:num w:numId="24">
    <w:abstractNumId w:val="33"/>
  </w:num>
  <w:num w:numId="25">
    <w:abstractNumId w:val="34"/>
  </w:num>
  <w:num w:numId="26">
    <w:abstractNumId w:val="18"/>
  </w:num>
  <w:num w:numId="27">
    <w:abstractNumId w:val="23"/>
  </w:num>
  <w:num w:numId="28">
    <w:abstractNumId w:val="32"/>
  </w:num>
  <w:num w:numId="29">
    <w:abstractNumId w:val="36"/>
  </w:num>
  <w:num w:numId="30">
    <w:abstractNumId w:val="38"/>
  </w:num>
  <w:num w:numId="31">
    <w:abstractNumId w:val="27"/>
  </w:num>
  <w:num w:numId="32">
    <w:abstractNumId w:val="15"/>
  </w:num>
  <w:num w:numId="33">
    <w:abstractNumId w:val="12"/>
  </w:num>
  <w:num w:numId="34">
    <w:abstractNumId w:val="11"/>
  </w:num>
  <w:num w:numId="35">
    <w:abstractNumId w:val="17"/>
  </w:num>
  <w:num w:numId="36">
    <w:abstractNumId w:val="24"/>
  </w:num>
  <w:num w:numId="37">
    <w:abstractNumId w:val="25"/>
  </w:num>
  <w:num w:numId="38">
    <w:abstractNumId w:val="29"/>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bordersDoNotSurroundHeader w:val="1"/>
  <w:bordersDoNotSurroundFooter w:val="1"/>
  <w:hideSpellingErrors/>
  <w:documentProtection w:enforcement="0"/>
  <w:defaultTabStop w:val="48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AA"/>
    <w:rsid w:val="00000082"/>
    <w:rsid w:val="000035AA"/>
    <w:rsid w:val="0000455B"/>
    <w:rsid w:val="000074D2"/>
    <w:rsid w:val="00010288"/>
    <w:rsid w:val="00011E36"/>
    <w:rsid w:val="00013093"/>
    <w:rsid w:val="00017D65"/>
    <w:rsid w:val="00022388"/>
    <w:rsid w:val="0002355A"/>
    <w:rsid w:val="00026205"/>
    <w:rsid w:val="00026492"/>
    <w:rsid w:val="000274C4"/>
    <w:rsid w:val="000308A0"/>
    <w:rsid w:val="00032351"/>
    <w:rsid w:val="000323BC"/>
    <w:rsid w:val="00041704"/>
    <w:rsid w:val="00043C75"/>
    <w:rsid w:val="00044683"/>
    <w:rsid w:val="0004762F"/>
    <w:rsid w:val="00051D77"/>
    <w:rsid w:val="00057CBE"/>
    <w:rsid w:val="0006185A"/>
    <w:rsid w:val="0006331E"/>
    <w:rsid w:val="0006471C"/>
    <w:rsid w:val="000654AF"/>
    <w:rsid w:val="00066160"/>
    <w:rsid w:val="00066C8E"/>
    <w:rsid w:val="00067F2D"/>
    <w:rsid w:val="00071A60"/>
    <w:rsid w:val="00072955"/>
    <w:rsid w:val="000740DC"/>
    <w:rsid w:val="000862AA"/>
    <w:rsid w:val="000871F2"/>
    <w:rsid w:val="00087AD2"/>
    <w:rsid w:val="0009624F"/>
    <w:rsid w:val="00097DFE"/>
    <w:rsid w:val="000A06AC"/>
    <w:rsid w:val="000A0862"/>
    <w:rsid w:val="000A32D3"/>
    <w:rsid w:val="000B57B8"/>
    <w:rsid w:val="000B6401"/>
    <w:rsid w:val="000B6EE3"/>
    <w:rsid w:val="000C22B6"/>
    <w:rsid w:val="000C242E"/>
    <w:rsid w:val="000C62C1"/>
    <w:rsid w:val="000D00CF"/>
    <w:rsid w:val="000D0F72"/>
    <w:rsid w:val="000D35F0"/>
    <w:rsid w:val="000D3BE8"/>
    <w:rsid w:val="000D5C5C"/>
    <w:rsid w:val="000E121F"/>
    <w:rsid w:val="000E154B"/>
    <w:rsid w:val="000E44D0"/>
    <w:rsid w:val="000E6DD4"/>
    <w:rsid w:val="000E7C31"/>
    <w:rsid w:val="000F70FF"/>
    <w:rsid w:val="001133E9"/>
    <w:rsid w:val="001138B8"/>
    <w:rsid w:val="001141AB"/>
    <w:rsid w:val="00116B55"/>
    <w:rsid w:val="001200ED"/>
    <w:rsid w:val="00120776"/>
    <w:rsid w:val="00120D2E"/>
    <w:rsid w:val="0012222C"/>
    <w:rsid w:val="00123C0D"/>
    <w:rsid w:val="00126DE6"/>
    <w:rsid w:val="001274B7"/>
    <w:rsid w:val="001276ED"/>
    <w:rsid w:val="0013022D"/>
    <w:rsid w:val="001321BD"/>
    <w:rsid w:val="001329F5"/>
    <w:rsid w:val="0013413D"/>
    <w:rsid w:val="001352FE"/>
    <w:rsid w:val="00135734"/>
    <w:rsid w:val="001361E7"/>
    <w:rsid w:val="00137949"/>
    <w:rsid w:val="00141B3D"/>
    <w:rsid w:val="00147164"/>
    <w:rsid w:val="00151E70"/>
    <w:rsid w:val="00153DC9"/>
    <w:rsid w:val="001541CF"/>
    <w:rsid w:val="00156849"/>
    <w:rsid w:val="00167012"/>
    <w:rsid w:val="00171811"/>
    <w:rsid w:val="0017232E"/>
    <w:rsid w:val="001727E2"/>
    <w:rsid w:val="001A14BD"/>
    <w:rsid w:val="001A2F46"/>
    <w:rsid w:val="001A3E6B"/>
    <w:rsid w:val="001A4580"/>
    <w:rsid w:val="001A4C49"/>
    <w:rsid w:val="001B1216"/>
    <w:rsid w:val="001B3259"/>
    <w:rsid w:val="001B7E2A"/>
    <w:rsid w:val="001C6CDA"/>
    <w:rsid w:val="001D27ED"/>
    <w:rsid w:val="001E255C"/>
    <w:rsid w:val="001E43E1"/>
    <w:rsid w:val="001F0FE1"/>
    <w:rsid w:val="001F7B22"/>
    <w:rsid w:val="001F7EAF"/>
    <w:rsid w:val="00200747"/>
    <w:rsid w:val="00201718"/>
    <w:rsid w:val="00203B15"/>
    <w:rsid w:val="0021140D"/>
    <w:rsid w:val="00211B03"/>
    <w:rsid w:val="00216146"/>
    <w:rsid w:val="00217482"/>
    <w:rsid w:val="00220060"/>
    <w:rsid w:val="00224A14"/>
    <w:rsid w:val="00226435"/>
    <w:rsid w:val="0022774E"/>
    <w:rsid w:val="002315B0"/>
    <w:rsid w:val="00235B46"/>
    <w:rsid w:val="00237488"/>
    <w:rsid w:val="00240124"/>
    <w:rsid w:val="002408DC"/>
    <w:rsid w:val="00241295"/>
    <w:rsid w:val="002426FA"/>
    <w:rsid w:val="002427ED"/>
    <w:rsid w:val="00243B90"/>
    <w:rsid w:val="0025119E"/>
    <w:rsid w:val="002520F9"/>
    <w:rsid w:val="00253E21"/>
    <w:rsid w:val="002551B6"/>
    <w:rsid w:val="00255546"/>
    <w:rsid w:val="0025710E"/>
    <w:rsid w:val="00261DDA"/>
    <w:rsid w:val="00263884"/>
    <w:rsid w:val="002717C3"/>
    <w:rsid w:val="00273F36"/>
    <w:rsid w:val="0027598B"/>
    <w:rsid w:val="00280A61"/>
    <w:rsid w:val="00281851"/>
    <w:rsid w:val="0028212C"/>
    <w:rsid w:val="002847B6"/>
    <w:rsid w:val="00294323"/>
    <w:rsid w:val="00294C91"/>
    <w:rsid w:val="00296384"/>
    <w:rsid w:val="002A01A2"/>
    <w:rsid w:val="002A4BFB"/>
    <w:rsid w:val="002A513C"/>
    <w:rsid w:val="002A6124"/>
    <w:rsid w:val="002A640A"/>
    <w:rsid w:val="002A6E39"/>
    <w:rsid w:val="002B057D"/>
    <w:rsid w:val="002B3C64"/>
    <w:rsid w:val="002B5045"/>
    <w:rsid w:val="002B6A89"/>
    <w:rsid w:val="002B7E37"/>
    <w:rsid w:val="002C1236"/>
    <w:rsid w:val="002C3AE2"/>
    <w:rsid w:val="002C4347"/>
    <w:rsid w:val="002C4D1F"/>
    <w:rsid w:val="002C5738"/>
    <w:rsid w:val="002C6CBB"/>
    <w:rsid w:val="002D0B1F"/>
    <w:rsid w:val="002D12DF"/>
    <w:rsid w:val="002D1CA0"/>
    <w:rsid w:val="002D3266"/>
    <w:rsid w:val="002D73FC"/>
    <w:rsid w:val="002E2C1B"/>
    <w:rsid w:val="002E2DEA"/>
    <w:rsid w:val="002E5E1C"/>
    <w:rsid w:val="002E6A04"/>
    <w:rsid w:val="002F263A"/>
    <w:rsid w:val="002F2FE1"/>
    <w:rsid w:val="002F34FB"/>
    <w:rsid w:val="003014F1"/>
    <w:rsid w:val="003037F9"/>
    <w:rsid w:val="0030504C"/>
    <w:rsid w:val="003051DF"/>
    <w:rsid w:val="00305DF3"/>
    <w:rsid w:val="003066B9"/>
    <w:rsid w:val="00306992"/>
    <w:rsid w:val="00310CBB"/>
    <w:rsid w:val="00313AD5"/>
    <w:rsid w:val="00314302"/>
    <w:rsid w:val="00314F23"/>
    <w:rsid w:val="00315BCF"/>
    <w:rsid w:val="0032175A"/>
    <w:rsid w:val="00321CDD"/>
    <w:rsid w:val="00325779"/>
    <w:rsid w:val="0033564A"/>
    <w:rsid w:val="00335829"/>
    <w:rsid w:val="00341C52"/>
    <w:rsid w:val="00345C95"/>
    <w:rsid w:val="00345E3D"/>
    <w:rsid w:val="00347E23"/>
    <w:rsid w:val="003513C1"/>
    <w:rsid w:val="00352EA6"/>
    <w:rsid w:val="00354B6F"/>
    <w:rsid w:val="00355AB2"/>
    <w:rsid w:val="00360584"/>
    <w:rsid w:val="00362EC3"/>
    <w:rsid w:val="00365EF4"/>
    <w:rsid w:val="0037284E"/>
    <w:rsid w:val="0037328C"/>
    <w:rsid w:val="00373F24"/>
    <w:rsid w:val="00375E9C"/>
    <w:rsid w:val="003836D7"/>
    <w:rsid w:val="00386D0C"/>
    <w:rsid w:val="003911DE"/>
    <w:rsid w:val="00391CAE"/>
    <w:rsid w:val="00393FCB"/>
    <w:rsid w:val="003953F7"/>
    <w:rsid w:val="00396F85"/>
    <w:rsid w:val="003A2FE4"/>
    <w:rsid w:val="003A7CF8"/>
    <w:rsid w:val="003B23E0"/>
    <w:rsid w:val="003B5F66"/>
    <w:rsid w:val="003C3370"/>
    <w:rsid w:val="003C3D19"/>
    <w:rsid w:val="003C61B0"/>
    <w:rsid w:val="003C66CA"/>
    <w:rsid w:val="003C6EE0"/>
    <w:rsid w:val="003C781A"/>
    <w:rsid w:val="003C78FC"/>
    <w:rsid w:val="003D1035"/>
    <w:rsid w:val="003D1FA7"/>
    <w:rsid w:val="003D23E7"/>
    <w:rsid w:val="003D406A"/>
    <w:rsid w:val="003D532B"/>
    <w:rsid w:val="003D5729"/>
    <w:rsid w:val="003E0582"/>
    <w:rsid w:val="003E13CE"/>
    <w:rsid w:val="003F07EF"/>
    <w:rsid w:val="003F3BCA"/>
    <w:rsid w:val="003F6931"/>
    <w:rsid w:val="00400FFC"/>
    <w:rsid w:val="004065FB"/>
    <w:rsid w:val="00406B3A"/>
    <w:rsid w:val="00414DFD"/>
    <w:rsid w:val="004170E9"/>
    <w:rsid w:val="004204C6"/>
    <w:rsid w:val="00422AE9"/>
    <w:rsid w:val="00422D81"/>
    <w:rsid w:val="00424458"/>
    <w:rsid w:val="00424D8C"/>
    <w:rsid w:val="00427E42"/>
    <w:rsid w:val="004322DB"/>
    <w:rsid w:val="00441A8D"/>
    <w:rsid w:val="0044685E"/>
    <w:rsid w:val="00451D9C"/>
    <w:rsid w:val="00453A22"/>
    <w:rsid w:val="0045497C"/>
    <w:rsid w:val="004549B0"/>
    <w:rsid w:val="00454C17"/>
    <w:rsid w:val="00454E3E"/>
    <w:rsid w:val="00457C80"/>
    <w:rsid w:val="004814B8"/>
    <w:rsid w:val="00482A0C"/>
    <w:rsid w:val="00486F71"/>
    <w:rsid w:val="004943DD"/>
    <w:rsid w:val="00495341"/>
    <w:rsid w:val="004955EF"/>
    <w:rsid w:val="00496C2D"/>
    <w:rsid w:val="00497306"/>
    <w:rsid w:val="004A0300"/>
    <w:rsid w:val="004A03BC"/>
    <w:rsid w:val="004A09DF"/>
    <w:rsid w:val="004A2962"/>
    <w:rsid w:val="004A3DBD"/>
    <w:rsid w:val="004B25EF"/>
    <w:rsid w:val="004B29ED"/>
    <w:rsid w:val="004B4492"/>
    <w:rsid w:val="004B5686"/>
    <w:rsid w:val="004B6929"/>
    <w:rsid w:val="004C0BEA"/>
    <w:rsid w:val="004C1724"/>
    <w:rsid w:val="004C21D8"/>
    <w:rsid w:val="004C5A04"/>
    <w:rsid w:val="004D01AA"/>
    <w:rsid w:val="004D2391"/>
    <w:rsid w:val="004D2AAC"/>
    <w:rsid w:val="004D5E8F"/>
    <w:rsid w:val="004D5F4F"/>
    <w:rsid w:val="004D7C9F"/>
    <w:rsid w:val="004D7DC5"/>
    <w:rsid w:val="004F12F6"/>
    <w:rsid w:val="004F2565"/>
    <w:rsid w:val="004F2A98"/>
    <w:rsid w:val="004F58F0"/>
    <w:rsid w:val="00500327"/>
    <w:rsid w:val="0050188E"/>
    <w:rsid w:val="00501D86"/>
    <w:rsid w:val="00502919"/>
    <w:rsid w:val="00504C05"/>
    <w:rsid w:val="005074B6"/>
    <w:rsid w:val="00507A1F"/>
    <w:rsid w:val="005155A2"/>
    <w:rsid w:val="00515615"/>
    <w:rsid w:val="00516005"/>
    <w:rsid w:val="00521866"/>
    <w:rsid w:val="00522B9E"/>
    <w:rsid w:val="005241A6"/>
    <w:rsid w:val="00530208"/>
    <w:rsid w:val="00533F32"/>
    <w:rsid w:val="0053491A"/>
    <w:rsid w:val="0053533D"/>
    <w:rsid w:val="00535677"/>
    <w:rsid w:val="00540DED"/>
    <w:rsid w:val="00541781"/>
    <w:rsid w:val="00542B84"/>
    <w:rsid w:val="00542DFC"/>
    <w:rsid w:val="0054425E"/>
    <w:rsid w:val="00547E59"/>
    <w:rsid w:val="00551B95"/>
    <w:rsid w:val="005524F8"/>
    <w:rsid w:val="00553FFD"/>
    <w:rsid w:val="005547C0"/>
    <w:rsid w:val="00554A1D"/>
    <w:rsid w:val="00555D96"/>
    <w:rsid w:val="00557A1A"/>
    <w:rsid w:val="00566F1D"/>
    <w:rsid w:val="005675CE"/>
    <w:rsid w:val="005707FA"/>
    <w:rsid w:val="005723BA"/>
    <w:rsid w:val="005728E0"/>
    <w:rsid w:val="005748DE"/>
    <w:rsid w:val="00574BBF"/>
    <w:rsid w:val="00576C25"/>
    <w:rsid w:val="005771B1"/>
    <w:rsid w:val="00577268"/>
    <w:rsid w:val="005804FF"/>
    <w:rsid w:val="00581DFE"/>
    <w:rsid w:val="0058333D"/>
    <w:rsid w:val="00586D9F"/>
    <w:rsid w:val="00587414"/>
    <w:rsid w:val="00587E5E"/>
    <w:rsid w:val="0059000D"/>
    <w:rsid w:val="00590D97"/>
    <w:rsid w:val="00595473"/>
    <w:rsid w:val="0059558C"/>
    <w:rsid w:val="00595C97"/>
    <w:rsid w:val="005968F6"/>
    <w:rsid w:val="00596EA3"/>
    <w:rsid w:val="00597169"/>
    <w:rsid w:val="0059721C"/>
    <w:rsid w:val="005A0155"/>
    <w:rsid w:val="005A3A13"/>
    <w:rsid w:val="005B0FE8"/>
    <w:rsid w:val="005B52B1"/>
    <w:rsid w:val="005B5AA8"/>
    <w:rsid w:val="005B70D2"/>
    <w:rsid w:val="005C219F"/>
    <w:rsid w:val="005C5FE8"/>
    <w:rsid w:val="005D0519"/>
    <w:rsid w:val="005D05B3"/>
    <w:rsid w:val="005D0787"/>
    <w:rsid w:val="005D0A93"/>
    <w:rsid w:val="005D3C07"/>
    <w:rsid w:val="005E1E4B"/>
    <w:rsid w:val="005E2B99"/>
    <w:rsid w:val="005E3718"/>
    <w:rsid w:val="005E4F5D"/>
    <w:rsid w:val="005F46BE"/>
    <w:rsid w:val="005F5125"/>
    <w:rsid w:val="0060158A"/>
    <w:rsid w:val="0060289F"/>
    <w:rsid w:val="00602E46"/>
    <w:rsid w:val="006046E3"/>
    <w:rsid w:val="0060658C"/>
    <w:rsid w:val="00611E7B"/>
    <w:rsid w:val="00617861"/>
    <w:rsid w:val="00623D24"/>
    <w:rsid w:val="006261E8"/>
    <w:rsid w:val="00627FCF"/>
    <w:rsid w:val="00632870"/>
    <w:rsid w:val="00643AB6"/>
    <w:rsid w:val="00643FBE"/>
    <w:rsid w:val="00645E0A"/>
    <w:rsid w:val="0065025D"/>
    <w:rsid w:val="006507C4"/>
    <w:rsid w:val="00654D70"/>
    <w:rsid w:val="00656588"/>
    <w:rsid w:val="00660FA8"/>
    <w:rsid w:val="00661C73"/>
    <w:rsid w:val="00662485"/>
    <w:rsid w:val="00662A02"/>
    <w:rsid w:val="00671482"/>
    <w:rsid w:val="006737D8"/>
    <w:rsid w:val="00673AA8"/>
    <w:rsid w:val="006806F4"/>
    <w:rsid w:val="006826B7"/>
    <w:rsid w:val="006835BB"/>
    <w:rsid w:val="006907AD"/>
    <w:rsid w:val="00693B7C"/>
    <w:rsid w:val="00696124"/>
    <w:rsid w:val="0069689D"/>
    <w:rsid w:val="00697D16"/>
    <w:rsid w:val="006A05D9"/>
    <w:rsid w:val="006A0CC9"/>
    <w:rsid w:val="006A186A"/>
    <w:rsid w:val="006A20AF"/>
    <w:rsid w:val="006A40FA"/>
    <w:rsid w:val="006B3D67"/>
    <w:rsid w:val="006B3E11"/>
    <w:rsid w:val="006B4160"/>
    <w:rsid w:val="006B4627"/>
    <w:rsid w:val="006B4BE2"/>
    <w:rsid w:val="006B56EB"/>
    <w:rsid w:val="006B6080"/>
    <w:rsid w:val="006B74EB"/>
    <w:rsid w:val="006B7B7B"/>
    <w:rsid w:val="006C0CD1"/>
    <w:rsid w:val="006C1E4A"/>
    <w:rsid w:val="006C2C64"/>
    <w:rsid w:val="006C34B3"/>
    <w:rsid w:val="006C4AD0"/>
    <w:rsid w:val="006C58FE"/>
    <w:rsid w:val="006C6978"/>
    <w:rsid w:val="006C7A57"/>
    <w:rsid w:val="006D050F"/>
    <w:rsid w:val="006D1856"/>
    <w:rsid w:val="006D6BCE"/>
    <w:rsid w:val="006D7B4D"/>
    <w:rsid w:val="006E0939"/>
    <w:rsid w:val="006E2335"/>
    <w:rsid w:val="006E2BE0"/>
    <w:rsid w:val="006E303A"/>
    <w:rsid w:val="006E56A7"/>
    <w:rsid w:val="006E68E7"/>
    <w:rsid w:val="006F0FAC"/>
    <w:rsid w:val="006F1585"/>
    <w:rsid w:val="006F3299"/>
    <w:rsid w:val="006F416C"/>
    <w:rsid w:val="006F543D"/>
    <w:rsid w:val="00700F0F"/>
    <w:rsid w:val="0070131F"/>
    <w:rsid w:val="007026EB"/>
    <w:rsid w:val="0070374E"/>
    <w:rsid w:val="00706A25"/>
    <w:rsid w:val="00706CED"/>
    <w:rsid w:val="00706EBF"/>
    <w:rsid w:val="00707699"/>
    <w:rsid w:val="0071196A"/>
    <w:rsid w:val="007132EC"/>
    <w:rsid w:val="0071498F"/>
    <w:rsid w:val="0072289E"/>
    <w:rsid w:val="00724698"/>
    <w:rsid w:val="0072482D"/>
    <w:rsid w:val="00724AE6"/>
    <w:rsid w:val="00724AEC"/>
    <w:rsid w:val="00725AAB"/>
    <w:rsid w:val="00727419"/>
    <w:rsid w:val="0072753E"/>
    <w:rsid w:val="00730A16"/>
    <w:rsid w:val="00731D85"/>
    <w:rsid w:val="00734E64"/>
    <w:rsid w:val="00736632"/>
    <w:rsid w:val="00737AB7"/>
    <w:rsid w:val="007424C3"/>
    <w:rsid w:val="00742AEE"/>
    <w:rsid w:val="00746420"/>
    <w:rsid w:val="00746BB8"/>
    <w:rsid w:val="00754B69"/>
    <w:rsid w:val="00755C97"/>
    <w:rsid w:val="00764829"/>
    <w:rsid w:val="00765A2E"/>
    <w:rsid w:val="0076656E"/>
    <w:rsid w:val="00777AB8"/>
    <w:rsid w:val="007801A3"/>
    <w:rsid w:val="0078153C"/>
    <w:rsid w:val="007816D8"/>
    <w:rsid w:val="00785F0A"/>
    <w:rsid w:val="00790D00"/>
    <w:rsid w:val="00793253"/>
    <w:rsid w:val="0079338C"/>
    <w:rsid w:val="00793B05"/>
    <w:rsid w:val="00793B94"/>
    <w:rsid w:val="00794290"/>
    <w:rsid w:val="007952F9"/>
    <w:rsid w:val="007A0FFB"/>
    <w:rsid w:val="007A1C79"/>
    <w:rsid w:val="007A3371"/>
    <w:rsid w:val="007A4908"/>
    <w:rsid w:val="007A5C14"/>
    <w:rsid w:val="007A788E"/>
    <w:rsid w:val="007B2F64"/>
    <w:rsid w:val="007B3397"/>
    <w:rsid w:val="007B3AB6"/>
    <w:rsid w:val="007B3ADA"/>
    <w:rsid w:val="007B58EA"/>
    <w:rsid w:val="007B6503"/>
    <w:rsid w:val="007C3DE6"/>
    <w:rsid w:val="007C411E"/>
    <w:rsid w:val="007C4320"/>
    <w:rsid w:val="007C5BB0"/>
    <w:rsid w:val="007D087E"/>
    <w:rsid w:val="007D0FD7"/>
    <w:rsid w:val="007D2CD9"/>
    <w:rsid w:val="007D3C74"/>
    <w:rsid w:val="007D6FC4"/>
    <w:rsid w:val="007D7B4A"/>
    <w:rsid w:val="007E056B"/>
    <w:rsid w:val="007E482F"/>
    <w:rsid w:val="007E52D2"/>
    <w:rsid w:val="007E5A30"/>
    <w:rsid w:val="007E6655"/>
    <w:rsid w:val="007E698F"/>
    <w:rsid w:val="007E716E"/>
    <w:rsid w:val="007F0432"/>
    <w:rsid w:val="007F41E0"/>
    <w:rsid w:val="007F70C8"/>
    <w:rsid w:val="00802E8E"/>
    <w:rsid w:val="008071F8"/>
    <w:rsid w:val="008138BB"/>
    <w:rsid w:val="008177A9"/>
    <w:rsid w:val="00826862"/>
    <w:rsid w:val="00826AF7"/>
    <w:rsid w:val="00826EA2"/>
    <w:rsid w:val="00833D21"/>
    <w:rsid w:val="00837E17"/>
    <w:rsid w:val="0084059C"/>
    <w:rsid w:val="0084274B"/>
    <w:rsid w:val="008433EA"/>
    <w:rsid w:val="00845896"/>
    <w:rsid w:val="00845D1C"/>
    <w:rsid w:val="0085326D"/>
    <w:rsid w:val="00856F38"/>
    <w:rsid w:val="0086018A"/>
    <w:rsid w:val="0086141E"/>
    <w:rsid w:val="00864909"/>
    <w:rsid w:val="00867D2E"/>
    <w:rsid w:val="00873998"/>
    <w:rsid w:val="00877457"/>
    <w:rsid w:val="008809AA"/>
    <w:rsid w:val="00881686"/>
    <w:rsid w:val="00883625"/>
    <w:rsid w:val="00883774"/>
    <w:rsid w:val="00885231"/>
    <w:rsid w:val="008904AA"/>
    <w:rsid w:val="0089230B"/>
    <w:rsid w:val="00894036"/>
    <w:rsid w:val="00895AA5"/>
    <w:rsid w:val="00896F99"/>
    <w:rsid w:val="0089782F"/>
    <w:rsid w:val="008A2218"/>
    <w:rsid w:val="008A7672"/>
    <w:rsid w:val="008A7DFE"/>
    <w:rsid w:val="008B2D63"/>
    <w:rsid w:val="008B3730"/>
    <w:rsid w:val="008B68B8"/>
    <w:rsid w:val="008B76AA"/>
    <w:rsid w:val="008C1613"/>
    <w:rsid w:val="008C18AF"/>
    <w:rsid w:val="008C3003"/>
    <w:rsid w:val="008C7842"/>
    <w:rsid w:val="008C7F11"/>
    <w:rsid w:val="008D1004"/>
    <w:rsid w:val="008D2FD2"/>
    <w:rsid w:val="008D69A2"/>
    <w:rsid w:val="008E1409"/>
    <w:rsid w:val="008E36DA"/>
    <w:rsid w:val="008E611A"/>
    <w:rsid w:val="008E7C91"/>
    <w:rsid w:val="008F0E8E"/>
    <w:rsid w:val="008F2B78"/>
    <w:rsid w:val="008F461A"/>
    <w:rsid w:val="008F5EC0"/>
    <w:rsid w:val="008F6F03"/>
    <w:rsid w:val="008F750F"/>
    <w:rsid w:val="008F7A35"/>
    <w:rsid w:val="0090298A"/>
    <w:rsid w:val="009040E7"/>
    <w:rsid w:val="00905494"/>
    <w:rsid w:val="00905580"/>
    <w:rsid w:val="00912077"/>
    <w:rsid w:val="00912404"/>
    <w:rsid w:val="009179A5"/>
    <w:rsid w:val="009328F9"/>
    <w:rsid w:val="009457DA"/>
    <w:rsid w:val="00947A6B"/>
    <w:rsid w:val="00947BF1"/>
    <w:rsid w:val="0095302A"/>
    <w:rsid w:val="00953292"/>
    <w:rsid w:val="0095430D"/>
    <w:rsid w:val="00954376"/>
    <w:rsid w:val="0095610F"/>
    <w:rsid w:val="00960262"/>
    <w:rsid w:val="00965902"/>
    <w:rsid w:val="00967754"/>
    <w:rsid w:val="00972A90"/>
    <w:rsid w:val="009779C8"/>
    <w:rsid w:val="00977C96"/>
    <w:rsid w:val="00977CF4"/>
    <w:rsid w:val="00977F48"/>
    <w:rsid w:val="00984B71"/>
    <w:rsid w:val="009865CF"/>
    <w:rsid w:val="00990706"/>
    <w:rsid w:val="0099123E"/>
    <w:rsid w:val="009949BC"/>
    <w:rsid w:val="009A0D49"/>
    <w:rsid w:val="009A3080"/>
    <w:rsid w:val="009A4FC9"/>
    <w:rsid w:val="009A6041"/>
    <w:rsid w:val="009A777B"/>
    <w:rsid w:val="009A7E25"/>
    <w:rsid w:val="009B061B"/>
    <w:rsid w:val="009B6780"/>
    <w:rsid w:val="009C09A5"/>
    <w:rsid w:val="009C1924"/>
    <w:rsid w:val="009E01BC"/>
    <w:rsid w:val="009E13CB"/>
    <w:rsid w:val="009E4159"/>
    <w:rsid w:val="009E4B69"/>
    <w:rsid w:val="009E716C"/>
    <w:rsid w:val="009F6B06"/>
    <w:rsid w:val="009F7CC7"/>
    <w:rsid w:val="00A00A94"/>
    <w:rsid w:val="00A01139"/>
    <w:rsid w:val="00A013D6"/>
    <w:rsid w:val="00A01875"/>
    <w:rsid w:val="00A05F00"/>
    <w:rsid w:val="00A0726F"/>
    <w:rsid w:val="00A11FF1"/>
    <w:rsid w:val="00A128B2"/>
    <w:rsid w:val="00A1571C"/>
    <w:rsid w:val="00A220AF"/>
    <w:rsid w:val="00A22764"/>
    <w:rsid w:val="00A261B8"/>
    <w:rsid w:val="00A27E5E"/>
    <w:rsid w:val="00A31097"/>
    <w:rsid w:val="00A33C0B"/>
    <w:rsid w:val="00A35335"/>
    <w:rsid w:val="00A3617A"/>
    <w:rsid w:val="00A370BF"/>
    <w:rsid w:val="00A41BDE"/>
    <w:rsid w:val="00A41DB2"/>
    <w:rsid w:val="00A533A5"/>
    <w:rsid w:val="00A5392E"/>
    <w:rsid w:val="00A545B0"/>
    <w:rsid w:val="00A5674C"/>
    <w:rsid w:val="00A578B7"/>
    <w:rsid w:val="00A6126A"/>
    <w:rsid w:val="00A61509"/>
    <w:rsid w:val="00A66B30"/>
    <w:rsid w:val="00A727EA"/>
    <w:rsid w:val="00A74B37"/>
    <w:rsid w:val="00A75AA9"/>
    <w:rsid w:val="00A832A7"/>
    <w:rsid w:val="00A83F09"/>
    <w:rsid w:val="00A86C39"/>
    <w:rsid w:val="00A875A9"/>
    <w:rsid w:val="00A91FAF"/>
    <w:rsid w:val="00A928D0"/>
    <w:rsid w:val="00A93E69"/>
    <w:rsid w:val="00A94D7E"/>
    <w:rsid w:val="00A958EF"/>
    <w:rsid w:val="00AA06B2"/>
    <w:rsid w:val="00AA4B32"/>
    <w:rsid w:val="00AA76DD"/>
    <w:rsid w:val="00AB2B35"/>
    <w:rsid w:val="00AC3535"/>
    <w:rsid w:val="00AC72AE"/>
    <w:rsid w:val="00AC7E67"/>
    <w:rsid w:val="00AD4690"/>
    <w:rsid w:val="00AF13CC"/>
    <w:rsid w:val="00AF444F"/>
    <w:rsid w:val="00AF6041"/>
    <w:rsid w:val="00B00446"/>
    <w:rsid w:val="00B051D1"/>
    <w:rsid w:val="00B125B8"/>
    <w:rsid w:val="00B14944"/>
    <w:rsid w:val="00B16E35"/>
    <w:rsid w:val="00B1768C"/>
    <w:rsid w:val="00B2021F"/>
    <w:rsid w:val="00B20392"/>
    <w:rsid w:val="00B207E5"/>
    <w:rsid w:val="00B20D0A"/>
    <w:rsid w:val="00B211FF"/>
    <w:rsid w:val="00B22275"/>
    <w:rsid w:val="00B24B81"/>
    <w:rsid w:val="00B27E17"/>
    <w:rsid w:val="00B323FC"/>
    <w:rsid w:val="00B33783"/>
    <w:rsid w:val="00B3466C"/>
    <w:rsid w:val="00B35673"/>
    <w:rsid w:val="00B35AD7"/>
    <w:rsid w:val="00B36E6B"/>
    <w:rsid w:val="00B40356"/>
    <w:rsid w:val="00B40676"/>
    <w:rsid w:val="00B40FA2"/>
    <w:rsid w:val="00B46611"/>
    <w:rsid w:val="00B56042"/>
    <w:rsid w:val="00B57303"/>
    <w:rsid w:val="00B60C05"/>
    <w:rsid w:val="00B60F7C"/>
    <w:rsid w:val="00B62EDE"/>
    <w:rsid w:val="00B669F5"/>
    <w:rsid w:val="00B7144F"/>
    <w:rsid w:val="00B735EE"/>
    <w:rsid w:val="00B778B2"/>
    <w:rsid w:val="00B815D2"/>
    <w:rsid w:val="00B81A3C"/>
    <w:rsid w:val="00B82391"/>
    <w:rsid w:val="00B826D0"/>
    <w:rsid w:val="00B8597F"/>
    <w:rsid w:val="00B85DBA"/>
    <w:rsid w:val="00B85E69"/>
    <w:rsid w:val="00B90111"/>
    <w:rsid w:val="00B9753E"/>
    <w:rsid w:val="00BA06AE"/>
    <w:rsid w:val="00BA0AF0"/>
    <w:rsid w:val="00BA3B8E"/>
    <w:rsid w:val="00BA5D86"/>
    <w:rsid w:val="00BA5E6F"/>
    <w:rsid w:val="00BA6AA5"/>
    <w:rsid w:val="00BB229D"/>
    <w:rsid w:val="00BB2715"/>
    <w:rsid w:val="00BB3214"/>
    <w:rsid w:val="00BB51FB"/>
    <w:rsid w:val="00BB5FF0"/>
    <w:rsid w:val="00BB6934"/>
    <w:rsid w:val="00BB7E4B"/>
    <w:rsid w:val="00BC299D"/>
    <w:rsid w:val="00BC3792"/>
    <w:rsid w:val="00BC3ABD"/>
    <w:rsid w:val="00BD3366"/>
    <w:rsid w:val="00BD366A"/>
    <w:rsid w:val="00BD7C11"/>
    <w:rsid w:val="00BD7EDD"/>
    <w:rsid w:val="00BE018A"/>
    <w:rsid w:val="00BE5BB8"/>
    <w:rsid w:val="00BE7C43"/>
    <w:rsid w:val="00BF324F"/>
    <w:rsid w:val="00BF661D"/>
    <w:rsid w:val="00C004DC"/>
    <w:rsid w:val="00C02D75"/>
    <w:rsid w:val="00C03F8C"/>
    <w:rsid w:val="00C05374"/>
    <w:rsid w:val="00C169F6"/>
    <w:rsid w:val="00C22E6E"/>
    <w:rsid w:val="00C243AF"/>
    <w:rsid w:val="00C24F58"/>
    <w:rsid w:val="00C24FA4"/>
    <w:rsid w:val="00C27358"/>
    <w:rsid w:val="00C3052A"/>
    <w:rsid w:val="00C3254C"/>
    <w:rsid w:val="00C32A29"/>
    <w:rsid w:val="00C358C9"/>
    <w:rsid w:val="00C40C71"/>
    <w:rsid w:val="00C40FB9"/>
    <w:rsid w:val="00C47A1C"/>
    <w:rsid w:val="00C537B3"/>
    <w:rsid w:val="00C5563C"/>
    <w:rsid w:val="00C56118"/>
    <w:rsid w:val="00C60D00"/>
    <w:rsid w:val="00C60DF8"/>
    <w:rsid w:val="00C65237"/>
    <w:rsid w:val="00C67ACD"/>
    <w:rsid w:val="00C7453B"/>
    <w:rsid w:val="00C762F3"/>
    <w:rsid w:val="00C82A64"/>
    <w:rsid w:val="00C8323D"/>
    <w:rsid w:val="00C8369C"/>
    <w:rsid w:val="00C8536A"/>
    <w:rsid w:val="00C854AF"/>
    <w:rsid w:val="00C8704E"/>
    <w:rsid w:val="00C92CAD"/>
    <w:rsid w:val="00C94962"/>
    <w:rsid w:val="00C96237"/>
    <w:rsid w:val="00CA1191"/>
    <w:rsid w:val="00CA3980"/>
    <w:rsid w:val="00CA4C17"/>
    <w:rsid w:val="00CA7106"/>
    <w:rsid w:val="00CB0F6E"/>
    <w:rsid w:val="00CB2B55"/>
    <w:rsid w:val="00CB2C5C"/>
    <w:rsid w:val="00CB5C7D"/>
    <w:rsid w:val="00CB7C68"/>
    <w:rsid w:val="00CC2C10"/>
    <w:rsid w:val="00CC43BD"/>
    <w:rsid w:val="00CC4A9F"/>
    <w:rsid w:val="00CD3AEA"/>
    <w:rsid w:val="00CD5C61"/>
    <w:rsid w:val="00CD75AC"/>
    <w:rsid w:val="00CE2BB5"/>
    <w:rsid w:val="00CE33DD"/>
    <w:rsid w:val="00CE41E6"/>
    <w:rsid w:val="00CE4F11"/>
    <w:rsid w:val="00CE5E25"/>
    <w:rsid w:val="00CE67F3"/>
    <w:rsid w:val="00CF0145"/>
    <w:rsid w:val="00CF1048"/>
    <w:rsid w:val="00CF6058"/>
    <w:rsid w:val="00D002F5"/>
    <w:rsid w:val="00D0167E"/>
    <w:rsid w:val="00D043D5"/>
    <w:rsid w:val="00D04464"/>
    <w:rsid w:val="00D04B84"/>
    <w:rsid w:val="00D06B01"/>
    <w:rsid w:val="00D10016"/>
    <w:rsid w:val="00D12E61"/>
    <w:rsid w:val="00D13CE8"/>
    <w:rsid w:val="00D1644F"/>
    <w:rsid w:val="00D1681C"/>
    <w:rsid w:val="00D17B9F"/>
    <w:rsid w:val="00D20220"/>
    <w:rsid w:val="00D21D97"/>
    <w:rsid w:val="00D22DB7"/>
    <w:rsid w:val="00D22ECE"/>
    <w:rsid w:val="00D2376F"/>
    <w:rsid w:val="00D249FB"/>
    <w:rsid w:val="00D30043"/>
    <w:rsid w:val="00D30368"/>
    <w:rsid w:val="00D3330A"/>
    <w:rsid w:val="00D341B3"/>
    <w:rsid w:val="00D37F48"/>
    <w:rsid w:val="00D41671"/>
    <w:rsid w:val="00D41F87"/>
    <w:rsid w:val="00D4237A"/>
    <w:rsid w:val="00D44664"/>
    <w:rsid w:val="00D44A36"/>
    <w:rsid w:val="00D4667D"/>
    <w:rsid w:val="00D506ED"/>
    <w:rsid w:val="00D50E59"/>
    <w:rsid w:val="00D51ECD"/>
    <w:rsid w:val="00D531E7"/>
    <w:rsid w:val="00D5397B"/>
    <w:rsid w:val="00D54669"/>
    <w:rsid w:val="00D54EF5"/>
    <w:rsid w:val="00D55289"/>
    <w:rsid w:val="00D55F07"/>
    <w:rsid w:val="00D56186"/>
    <w:rsid w:val="00D616CB"/>
    <w:rsid w:val="00D62C7E"/>
    <w:rsid w:val="00D643B7"/>
    <w:rsid w:val="00D65246"/>
    <w:rsid w:val="00D65CF9"/>
    <w:rsid w:val="00D728B5"/>
    <w:rsid w:val="00D74203"/>
    <w:rsid w:val="00D75272"/>
    <w:rsid w:val="00D7602E"/>
    <w:rsid w:val="00D77430"/>
    <w:rsid w:val="00D801CD"/>
    <w:rsid w:val="00D82302"/>
    <w:rsid w:val="00D86E48"/>
    <w:rsid w:val="00D877DE"/>
    <w:rsid w:val="00D9295D"/>
    <w:rsid w:val="00DA2671"/>
    <w:rsid w:val="00DA4DF2"/>
    <w:rsid w:val="00DA6DFD"/>
    <w:rsid w:val="00DB0444"/>
    <w:rsid w:val="00DB0669"/>
    <w:rsid w:val="00DB37C4"/>
    <w:rsid w:val="00DC0A7E"/>
    <w:rsid w:val="00DC4BD3"/>
    <w:rsid w:val="00DC6EAF"/>
    <w:rsid w:val="00DD044D"/>
    <w:rsid w:val="00DD1E58"/>
    <w:rsid w:val="00DD368F"/>
    <w:rsid w:val="00DD38FA"/>
    <w:rsid w:val="00DD4145"/>
    <w:rsid w:val="00DD6EE6"/>
    <w:rsid w:val="00DE09E1"/>
    <w:rsid w:val="00DE1292"/>
    <w:rsid w:val="00DE5BC6"/>
    <w:rsid w:val="00DF0E21"/>
    <w:rsid w:val="00DF4A2E"/>
    <w:rsid w:val="00DF5538"/>
    <w:rsid w:val="00E04476"/>
    <w:rsid w:val="00E04D0B"/>
    <w:rsid w:val="00E116E1"/>
    <w:rsid w:val="00E11741"/>
    <w:rsid w:val="00E14319"/>
    <w:rsid w:val="00E155EA"/>
    <w:rsid w:val="00E15AC5"/>
    <w:rsid w:val="00E17389"/>
    <w:rsid w:val="00E17481"/>
    <w:rsid w:val="00E208E0"/>
    <w:rsid w:val="00E215AC"/>
    <w:rsid w:val="00E21AB0"/>
    <w:rsid w:val="00E23485"/>
    <w:rsid w:val="00E23EA5"/>
    <w:rsid w:val="00E251F9"/>
    <w:rsid w:val="00E25507"/>
    <w:rsid w:val="00E26AAB"/>
    <w:rsid w:val="00E2753B"/>
    <w:rsid w:val="00E27F89"/>
    <w:rsid w:val="00E33610"/>
    <w:rsid w:val="00E35CC6"/>
    <w:rsid w:val="00E44F12"/>
    <w:rsid w:val="00E51A34"/>
    <w:rsid w:val="00E55008"/>
    <w:rsid w:val="00E56301"/>
    <w:rsid w:val="00E575C0"/>
    <w:rsid w:val="00E5761D"/>
    <w:rsid w:val="00E57A7E"/>
    <w:rsid w:val="00E64411"/>
    <w:rsid w:val="00E70531"/>
    <w:rsid w:val="00E71C40"/>
    <w:rsid w:val="00E74958"/>
    <w:rsid w:val="00E74F08"/>
    <w:rsid w:val="00E7529A"/>
    <w:rsid w:val="00E85598"/>
    <w:rsid w:val="00E909FB"/>
    <w:rsid w:val="00E90D8E"/>
    <w:rsid w:val="00E9486C"/>
    <w:rsid w:val="00E95640"/>
    <w:rsid w:val="00E96A37"/>
    <w:rsid w:val="00EA0008"/>
    <w:rsid w:val="00EA30D9"/>
    <w:rsid w:val="00EA3D01"/>
    <w:rsid w:val="00EA53EB"/>
    <w:rsid w:val="00EB02A1"/>
    <w:rsid w:val="00EB266F"/>
    <w:rsid w:val="00EB3B9E"/>
    <w:rsid w:val="00EB574C"/>
    <w:rsid w:val="00EB7555"/>
    <w:rsid w:val="00EB7DEA"/>
    <w:rsid w:val="00EC1117"/>
    <w:rsid w:val="00ED4385"/>
    <w:rsid w:val="00ED5BCF"/>
    <w:rsid w:val="00EE0226"/>
    <w:rsid w:val="00EE1F94"/>
    <w:rsid w:val="00EE6B63"/>
    <w:rsid w:val="00EE6C10"/>
    <w:rsid w:val="00EE7184"/>
    <w:rsid w:val="00EF111C"/>
    <w:rsid w:val="00EF598C"/>
    <w:rsid w:val="00EF6BA7"/>
    <w:rsid w:val="00F0025C"/>
    <w:rsid w:val="00F01E45"/>
    <w:rsid w:val="00F02347"/>
    <w:rsid w:val="00F05271"/>
    <w:rsid w:val="00F05B6E"/>
    <w:rsid w:val="00F06E98"/>
    <w:rsid w:val="00F07F4D"/>
    <w:rsid w:val="00F109BA"/>
    <w:rsid w:val="00F1463A"/>
    <w:rsid w:val="00F167E6"/>
    <w:rsid w:val="00F1740F"/>
    <w:rsid w:val="00F17C4E"/>
    <w:rsid w:val="00F211D3"/>
    <w:rsid w:val="00F24407"/>
    <w:rsid w:val="00F3496D"/>
    <w:rsid w:val="00F34B13"/>
    <w:rsid w:val="00F35D84"/>
    <w:rsid w:val="00F409A6"/>
    <w:rsid w:val="00F41B39"/>
    <w:rsid w:val="00F44DA9"/>
    <w:rsid w:val="00F45A97"/>
    <w:rsid w:val="00F46FC7"/>
    <w:rsid w:val="00F52B06"/>
    <w:rsid w:val="00F535C1"/>
    <w:rsid w:val="00F637A3"/>
    <w:rsid w:val="00F64FFE"/>
    <w:rsid w:val="00F653D1"/>
    <w:rsid w:val="00F65DB4"/>
    <w:rsid w:val="00F67827"/>
    <w:rsid w:val="00F70DB9"/>
    <w:rsid w:val="00F72556"/>
    <w:rsid w:val="00F80A5D"/>
    <w:rsid w:val="00F91E77"/>
    <w:rsid w:val="00F9359E"/>
    <w:rsid w:val="00FA0FBD"/>
    <w:rsid w:val="00FA4FA1"/>
    <w:rsid w:val="00FA7FA4"/>
    <w:rsid w:val="00FB03F1"/>
    <w:rsid w:val="00FB3DF6"/>
    <w:rsid w:val="00FB511E"/>
    <w:rsid w:val="00FB55FA"/>
    <w:rsid w:val="00FC0AFC"/>
    <w:rsid w:val="00FC2492"/>
    <w:rsid w:val="00FC3F25"/>
    <w:rsid w:val="00FC4258"/>
    <w:rsid w:val="00FD1115"/>
    <w:rsid w:val="00FD15A1"/>
    <w:rsid w:val="00FD6786"/>
    <w:rsid w:val="00FE058D"/>
    <w:rsid w:val="00FE12AE"/>
    <w:rsid w:val="00FE6B65"/>
    <w:rsid w:val="00FF1A6D"/>
    <w:rsid w:val="00FF1C93"/>
    <w:rsid w:val="00FF2D4F"/>
    <w:rsid w:val="00FF4DCC"/>
    <w:rsid w:val="00FF58CC"/>
    <w:rsid w:val="00FF7080"/>
    <w:rsid w:val="050B1CD6"/>
    <w:rsid w:val="068A4EBD"/>
    <w:rsid w:val="0917679F"/>
    <w:rsid w:val="0D0905ED"/>
    <w:rsid w:val="0D653D8D"/>
    <w:rsid w:val="117E1018"/>
    <w:rsid w:val="163F53EA"/>
    <w:rsid w:val="1E2756C9"/>
    <w:rsid w:val="2D7B4C5F"/>
    <w:rsid w:val="4C7E12B1"/>
    <w:rsid w:val="585823C1"/>
    <w:rsid w:val="5BEEEAB0"/>
    <w:rsid w:val="70DF7F05"/>
    <w:rsid w:val="7375EAEE"/>
    <w:rsid w:val="B3CFF6B8"/>
    <w:rsid w:val="BEFF4086"/>
    <w:rsid w:val="BFFF2D4F"/>
    <w:rsid w:val="E97BA81F"/>
    <w:rsid w:val="F6F9B6A2"/>
    <w:rsid w:val="FD9A6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99"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qFormat="1" w:unhideWhenUsed="0" w:uiPriority="1"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qFormat="1" w:unhideWhenUsed="0" w:uiPriority="1"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34"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ascii="Times New Roman" w:hAnsi="Times New Roman" w:eastAsia="楷体" w:cs="Times New Roman"/>
      <w:kern w:val="2"/>
      <w:sz w:val="32"/>
      <w:szCs w:val="24"/>
      <w:lang w:val="en-US" w:eastAsia="zh-CN" w:bidi="ar-SA"/>
    </w:rPr>
  </w:style>
  <w:style w:type="paragraph" w:styleId="2">
    <w:name w:val="heading 1"/>
    <w:next w:val="1"/>
    <w:link w:val="94"/>
    <w:qFormat/>
    <w:uiPriority w:val="9"/>
    <w:pPr>
      <w:keepNext/>
      <w:keepLines/>
      <w:pageBreakBefore/>
      <w:numPr>
        <w:ilvl w:val="0"/>
        <w:numId w:val="1"/>
      </w:numPr>
      <w:spacing w:line="500" w:lineRule="exact"/>
      <w:jc w:val="both"/>
      <w:outlineLvl w:val="0"/>
    </w:pPr>
    <w:rPr>
      <w:rFonts w:ascii="Times New Roman" w:hAnsi="Times New Roman" w:eastAsia="黑体" w:cs="Times New Roman"/>
      <w:b/>
      <w:bCs/>
      <w:kern w:val="44"/>
      <w:sz w:val="32"/>
      <w:szCs w:val="44"/>
      <w:lang w:val="en-US" w:eastAsia="zh-CN" w:bidi="ar-SA"/>
    </w:rPr>
  </w:style>
  <w:style w:type="paragraph" w:styleId="3">
    <w:name w:val="heading 2"/>
    <w:next w:val="1"/>
    <w:link w:val="95"/>
    <w:qFormat/>
    <w:uiPriority w:val="9"/>
    <w:pPr>
      <w:keepNext/>
      <w:keepLines/>
      <w:numPr>
        <w:ilvl w:val="1"/>
        <w:numId w:val="1"/>
      </w:numPr>
      <w:tabs>
        <w:tab w:val="left" w:pos="480"/>
      </w:tabs>
      <w:spacing w:line="500" w:lineRule="exact"/>
      <w:outlineLvl w:val="1"/>
    </w:pPr>
    <w:rPr>
      <w:rFonts w:ascii="Times New Roman" w:hAnsi="Times New Roman" w:eastAsia="黑体" w:cs="Times New Roman"/>
      <w:b/>
      <w:bCs/>
      <w:kern w:val="2"/>
      <w:sz w:val="28"/>
      <w:szCs w:val="28"/>
      <w:lang w:val="en-US" w:eastAsia="zh-CN" w:bidi="ar-SA"/>
    </w:rPr>
  </w:style>
  <w:style w:type="paragraph" w:styleId="4">
    <w:name w:val="heading 3"/>
    <w:next w:val="1"/>
    <w:link w:val="96"/>
    <w:qFormat/>
    <w:uiPriority w:val="9"/>
    <w:pPr>
      <w:keepNext/>
      <w:keepLines/>
      <w:numPr>
        <w:ilvl w:val="2"/>
        <w:numId w:val="1"/>
      </w:numPr>
      <w:tabs>
        <w:tab w:val="left" w:pos="480"/>
        <w:tab w:val="center" w:pos="640"/>
      </w:tabs>
      <w:spacing w:line="500" w:lineRule="exact"/>
      <w:outlineLvl w:val="2"/>
    </w:pPr>
    <w:rPr>
      <w:rFonts w:ascii="Times New Roman" w:hAnsi="Times New Roman" w:eastAsia="黑体" w:cs="Times New Roman"/>
      <w:b/>
      <w:bCs/>
      <w:kern w:val="2"/>
      <w:sz w:val="28"/>
      <w:szCs w:val="28"/>
      <w:lang w:val="en-US" w:eastAsia="zh-CN" w:bidi="ar-SA"/>
    </w:rPr>
  </w:style>
  <w:style w:type="paragraph" w:styleId="5">
    <w:name w:val="heading 4"/>
    <w:next w:val="1"/>
    <w:link w:val="97"/>
    <w:qFormat/>
    <w:uiPriority w:val="9"/>
    <w:pPr>
      <w:keepNext/>
      <w:keepLines/>
      <w:numPr>
        <w:ilvl w:val="3"/>
        <w:numId w:val="1"/>
      </w:numPr>
      <w:spacing w:line="500" w:lineRule="exact"/>
      <w:outlineLvl w:val="3"/>
    </w:pPr>
    <w:rPr>
      <w:rFonts w:ascii="Times New Roman" w:hAnsi="Times New Roman" w:eastAsia="宋体" w:cs="Times New Roman"/>
      <w:b/>
      <w:bCs/>
      <w:kern w:val="2"/>
      <w:sz w:val="28"/>
      <w:szCs w:val="28"/>
      <w:lang w:val="en-US" w:eastAsia="zh-CN" w:bidi="ar-SA"/>
    </w:rPr>
  </w:style>
  <w:style w:type="paragraph" w:styleId="6">
    <w:name w:val="heading 5"/>
    <w:next w:val="1"/>
    <w:link w:val="98"/>
    <w:qFormat/>
    <w:uiPriority w:val="9"/>
    <w:pPr>
      <w:keepNext/>
      <w:keepLines/>
      <w:numPr>
        <w:ilvl w:val="4"/>
        <w:numId w:val="1"/>
      </w:numPr>
      <w:spacing w:line="500" w:lineRule="exact"/>
      <w:outlineLvl w:val="4"/>
    </w:pPr>
    <w:rPr>
      <w:rFonts w:ascii="Times New Roman" w:hAnsi="Times New Roman" w:eastAsia="宋体" w:cs="Times New Roman"/>
      <w:b/>
      <w:bCs/>
      <w:kern w:val="2"/>
      <w:sz w:val="28"/>
      <w:szCs w:val="28"/>
      <w:lang w:val="en-US" w:eastAsia="zh-CN" w:bidi="ar-SA"/>
    </w:rPr>
  </w:style>
  <w:style w:type="paragraph" w:styleId="7">
    <w:name w:val="heading 6"/>
    <w:next w:val="1"/>
    <w:link w:val="99"/>
    <w:qFormat/>
    <w:uiPriority w:val="9"/>
    <w:pPr>
      <w:keepNext/>
      <w:keepLines/>
      <w:numPr>
        <w:ilvl w:val="5"/>
        <w:numId w:val="1"/>
      </w:numPr>
      <w:spacing w:before="156" w:beforeLines="50" w:after="156" w:afterLines="50" w:line="360" w:lineRule="auto"/>
      <w:outlineLvl w:val="5"/>
    </w:pPr>
    <w:rPr>
      <w:rFonts w:ascii="Times New Roman" w:hAnsi="Times New Roman" w:eastAsia="宋体" w:cs="Times New Roman"/>
      <w:b/>
      <w:bCs/>
      <w:kern w:val="2"/>
      <w:sz w:val="28"/>
      <w:szCs w:val="28"/>
      <w:lang w:val="en-US" w:eastAsia="zh-CN" w:bidi="ar-SA"/>
    </w:rPr>
  </w:style>
  <w:style w:type="paragraph" w:styleId="8">
    <w:name w:val="heading 7"/>
    <w:next w:val="1"/>
    <w:link w:val="100"/>
    <w:qFormat/>
    <w:uiPriority w:val="9"/>
    <w:pPr>
      <w:keepNext/>
      <w:keepLines/>
      <w:widowControl w:val="0"/>
      <w:numPr>
        <w:ilvl w:val="6"/>
        <w:numId w:val="1"/>
      </w:numPr>
      <w:spacing w:line="360" w:lineRule="auto"/>
      <w:jc w:val="both"/>
      <w:outlineLvl w:val="6"/>
    </w:pPr>
    <w:rPr>
      <w:rFonts w:ascii="Times New Roman" w:hAnsi="Times New Roman" w:eastAsia="宋体" w:cs="Times New Roman"/>
      <w:b/>
      <w:bCs/>
      <w:kern w:val="2"/>
      <w:sz w:val="28"/>
      <w:szCs w:val="28"/>
      <w:lang w:val="en-US" w:eastAsia="zh-CN" w:bidi="ar-SA"/>
    </w:rPr>
  </w:style>
  <w:style w:type="paragraph" w:styleId="9">
    <w:name w:val="heading 8"/>
    <w:basedOn w:val="1"/>
    <w:next w:val="1"/>
    <w:link w:val="101"/>
    <w:qFormat/>
    <w:uiPriority w:val="9"/>
    <w:pPr>
      <w:keepNext/>
      <w:keepLines/>
      <w:numPr>
        <w:ilvl w:val="7"/>
        <w:numId w:val="1"/>
      </w:numPr>
      <w:spacing w:before="240" w:after="64" w:line="320" w:lineRule="auto"/>
      <w:ind w:firstLineChars="0"/>
      <w:outlineLvl w:val="7"/>
    </w:pPr>
    <w:rPr>
      <w:rFonts w:ascii="Arial" w:hAnsi="Arial" w:eastAsia="黑体"/>
      <w:sz w:val="28"/>
      <w:szCs w:val="28"/>
    </w:rPr>
  </w:style>
  <w:style w:type="paragraph" w:styleId="10">
    <w:name w:val="heading 9"/>
    <w:basedOn w:val="1"/>
    <w:next w:val="1"/>
    <w:link w:val="102"/>
    <w:qFormat/>
    <w:uiPriority w:val="9"/>
    <w:pPr>
      <w:keepNext/>
      <w:keepLines/>
      <w:numPr>
        <w:ilvl w:val="8"/>
        <w:numId w:val="1"/>
      </w:numPr>
      <w:spacing w:before="240" w:after="64" w:line="320" w:lineRule="auto"/>
      <w:ind w:firstLineChars="0"/>
      <w:outlineLvl w:val="8"/>
    </w:pPr>
    <w:rPr>
      <w:rFonts w:ascii="Arial" w:hAnsi="Arial" w:eastAsia="黑体"/>
      <w:szCs w:val="21"/>
    </w:rPr>
  </w:style>
  <w:style w:type="character" w:default="1" w:styleId="85">
    <w:name w:val="Default Paragraph Font"/>
    <w:semiHidden/>
    <w:unhideWhenUsed/>
    <w:qFormat/>
    <w:uiPriority w:val="1"/>
  </w:style>
  <w:style w:type="table" w:default="1" w:styleId="7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spacing w:line="240" w:lineRule="auto"/>
      <w:ind w:left="100" w:leftChars="400" w:hanging="200" w:hangingChars="200"/>
    </w:pPr>
    <w:rPr>
      <w:sz w:val="21"/>
    </w:rPr>
  </w:style>
  <w:style w:type="paragraph" w:styleId="12">
    <w:name w:val="toc 7"/>
    <w:basedOn w:val="1"/>
    <w:next w:val="1"/>
    <w:qFormat/>
    <w:uiPriority w:val="39"/>
    <w:pPr>
      <w:spacing w:line="240" w:lineRule="auto"/>
      <w:ind w:left="1260" w:firstLine="0" w:firstLineChars="0"/>
      <w:jc w:val="left"/>
    </w:pPr>
    <w:rPr>
      <w:sz w:val="18"/>
      <w:szCs w:val="18"/>
    </w:rPr>
  </w:style>
  <w:style w:type="paragraph" w:styleId="13">
    <w:name w:val="List Number 2"/>
    <w:basedOn w:val="1"/>
    <w:qFormat/>
    <w:uiPriority w:val="0"/>
    <w:pPr>
      <w:numPr>
        <w:ilvl w:val="0"/>
        <w:numId w:val="2"/>
      </w:numPr>
      <w:spacing w:line="240" w:lineRule="auto"/>
    </w:pPr>
    <w:rPr>
      <w:sz w:val="21"/>
    </w:rPr>
  </w:style>
  <w:style w:type="paragraph" w:styleId="14">
    <w:name w:val="table of authorities"/>
    <w:basedOn w:val="1"/>
    <w:next w:val="1"/>
    <w:qFormat/>
    <w:uiPriority w:val="0"/>
    <w:pPr>
      <w:spacing w:line="240" w:lineRule="auto"/>
      <w:ind w:left="420" w:leftChars="200" w:firstLine="0" w:firstLineChars="0"/>
    </w:pPr>
    <w:rPr>
      <w:sz w:val="21"/>
    </w:rPr>
  </w:style>
  <w:style w:type="paragraph" w:styleId="15">
    <w:name w:val="Note Heading"/>
    <w:basedOn w:val="1"/>
    <w:next w:val="1"/>
    <w:link w:val="328"/>
    <w:qFormat/>
    <w:uiPriority w:val="0"/>
    <w:pPr>
      <w:spacing w:line="240" w:lineRule="auto"/>
      <w:ind w:firstLine="0" w:firstLineChars="0"/>
      <w:jc w:val="center"/>
    </w:pPr>
    <w:rPr>
      <w:rFonts w:ascii="Tahoma" w:hAnsi="Tahoma"/>
      <w:sz w:val="21"/>
    </w:rPr>
  </w:style>
  <w:style w:type="paragraph" w:styleId="16">
    <w:name w:val="List Bullet 4"/>
    <w:basedOn w:val="1"/>
    <w:qFormat/>
    <w:uiPriority w:val="0"/>
    <w:pPr>
      <w:numPr>
        <w:ilvl w:val="0"/>
        <w:numId w:val="3"/>
      </w:numPr>
      <w:spacing w:line="240" w:lineRule="auto"/>
    </w:pPr>
    <w:rPr>
      <w:sz w:val="21"/>
    </w:rPr>
  </w:style>
  <w:style w:type="paragraph" w:styleId="17">
    <w:name w:val="E-mail Signature"/>
    <w:basedOn w:val="1"/>
    <w:link w:val="322"/>
    <w:qFormat/>
    <w:uiPriority w:val="0"/>
    <w:pPr>
      <w:spacing w:line="240" w:lineRule="auto"/>
      <w:ind w:firstLine="0" w:firstLineChars="0"/>
    </w:pPr>
    <w:rPr>
      <w:rFonts w:ascii="Tahoma" w:hAnsi="Tahoma"/>
      <w:sz w:val="21"/>
    </w:rPr>
  </w:style>
  <w:style w:type="paragraph" w:styleId="18">
    <w:name w:val="List Number"/>
    <w:basedOn w:val="1"/>
    <w:qFormat/>
    <w:uiPriority w:val="99"/>
    <w:pPr>
      <w:numPr>
        <w:ilvl w:val="0"/>
        <w:numId w:val="4"/>
      </w:numPr>
      <w:spacing w:line="240" w:lineRule="auto"/>
    </w:pPr>
    <w:rPr>
      <w:sz w:val="21"/>
    </w:rPr>
  </w:style>
  <w:style w:type="paragraph" w:styleId="19">
    <w:name w:val="Normal Indent"/>
    <w:basedOn w:val="1"/>
    <w:link w:val="134"/>
    <w:qFormat/>
    <w:uiPriority w:val="0"/>
    <w:pPr>
      <w:spacing w:line="240" w:lineRule="auto"/>
      <w:ind w:firstLine="420" w:firstLineChars="0"/>
    </w:pPr>
    <w:rPr>
      <w:sz w:val="21"/>
      <w:szCs w:val="20"/>
    </w:rPr>
  </w:style>
  <w:style w:type="paragraph" w:styleId="20">
    <w:name w:val="caption"/>
    <w:basedOn w:val="1"/>
    <w:next w:val="1"/>
    <w:link w:val="527"/>
    <w:qFormat/>
    <w:uiPriority w:val="0"/>
    <w:pPr>
      <w:spacing w:before="152" w:after="160" w:line="240" w:lineRule="auto"/>
      <w:ind w:firstLine="0" w:firstLineChars="0"/>
    </w:pPr>
    <w:rPr>
      <w:rFonts w:ascii="Arial" w:hAnsi="Arial" w:eastAsia="黑体" w:cs="Arial"/>
      <w:sz w:val="20"/>
      <w:szCs w:val="20"/>
    </w:rPr>
  </w:style>
  <w:style w:type="paragraph" w:styleId="21">
    <w:name w:val="List Bullet"/>
    <w:basedOn w:val="1"/>
    <w:qFormat/>
    <w:uiPriority w:val="0"/>
    <w:pPr>
      <w:numPr>
        <w:ilvl w:val="0"/>
        <w:numId w:val="5"/>
      </w:numPr>
      <w:spacing w:line="240" w:lineRule="auto"/>
    </w:pPr>
    <w:rPr>
      <w:sz w:val="21"/>
    </w:rPr>
  </w:style>
  <w:style w:type="paragraph" w:styleId="22">
    <w:name w:val="envelope address"/>
    <w:basedOn w:val="1"/>
    <w:qFormat/>
    <w:uiPriority w:val="0"/>
    <w:pPr>
      <w:framePr w:w="7920" w:h="1980" w:hRule="exact" w:hSpace="180" w:wrap="around" w:vAnchor="margin" w:hAnchor="page" w:xAlign="center" w:yAlign="bottom"/>
      <w:snapToGrid w:val="0"/>
      <w:spacing w:line="240" w:lineRule="auto"/>
      <w:ind w:left="100" w:leftChars="1400" w:firstLine="0" w:firstLineChars="0"/>
    </w:pPr>
    <w:rPr>
      <w:rFonts w:ascii="Arial" w:hAnsi="Arial" w:cs="Arial"/>
    </w:rPr>
  </w:style>
  <w:style w:type="paragraph" w:styleId="23">
    <w:name w:val="Document Map"/>
    <w:basedOn w:val="1"/>
    <w:link w:val="161"/>
    <w:qFormat/>
    <w:uiPriority w:val="0"/>
    <w:pPr>
      <w:shd w:val="clear" w:color="auto" w:fill="000080"/>
      <w:spacing w:line="240" w:lineRule="auto"/>
      <w:ind w:firstLine="0" w:firstLineChars="0"/>
    </w:pPr>
    <w:rPr>
      <w:sz w:val="21"/>
    </w:rPr>
  </w:style>
  <w:style w:type="paragraph" w:styleId="24">
    <w:name w:val="annotation text"/>
    <w:basedOn w:val="1"/>
    <w:link w:val="118"/>
    <w:unhideWhenUsed/>
    <w:qFormat/>
    <w:uiPriority w:val="0"/>
    <w:pPr>
      <w:jc w:val="left"/>
    </w:pPr>
  </w:style>
  <w:style w:type="paragraph" w:styleId="25">
    <w:name w:val="Salutation"/>
    <w:basedOn w:val="1"/>
    <w:next w:val="1"/>
    <w:link w:val="320"/>
    <w:qFormat/>
    <w:uiPriority w:val="0"/>
    <w:pPr>
      <w:spacing w:line="240" w:lineRule="auto"/>
      <w:ind w:firstLine="0" w:firstLineChars="0"/>
    </w:pPr>
    <w:rPr>
      <w:rFonts w:ascii="Tahoma" w:hAnsi="Tahoma"/>
      <w:sz w:val="21"/>
    </w:rPr>
  </w:style>
  <w:style w:type="paragraph" w:styleId="26">
    <w:name w:val="Body Text 3"/>
    <w:basedOn w:val="1"/>
    <w:link w:val="182"/>
    <w:qFormat/>
    <w:uiPriority w:val="0"/>
    <w:pPr>
      <w:spacing w:line="240" w:lineRule="auto"/>
      <w:ind w:firstLine="0" w:firstLineChars="0"/>
    </w:pPr>
    <w:rPr>
      <w:rFonts w:ascii="仿宋_GB2312" w:hAnsi="Arial" w:eastAsia="仿宋_GB2312"/>
      <w:szCs w:val="32"/>
    </w:rPr>
  </w:style>
  <w:style w:type="paragraph" w:styleId="27">
    <w:name w:val="Closing"/>
    <w:basedOn w:val="1"/>
    <w:link w:val="324"/>
    <w:qFormat/>
    <w:uiPriority w:val="0"/>
    <w:pPr>
      <w:spacing w:line="240" w:lineRule="auto"/>
      <w:ind w:left="100" w:leftChars="2100" w:firstLine="0" w:firstLineChars="0"/>
    </w:pPr>
    <w:rPr>
      <w:rFonts w:ascii="Tahoma" w:hAnsi="Tahoma"/>
      <w:sz w:val="21"/>
    </w:rPr>
  </w:style>
  <w:style w:type="paragraph" w:styleId="28">
    <w:name w:val="List Bullet 3"/>
    <w:basedOn w:val="1"/>
    <w:qFormat/>
    <w:uiPriority w:val="0"/>
    <w:pPr>
      <w:numPr>
        <w:ilvl w:val="0"/>
        <w:numId w:val="6"/>
      </w:numPr>
      <w:spacing w:line="240" w:lineRule="auto"/>
    </w:pPr>
    <w:rPr>
      <w:sz w:val="21"/>
    </w:rPr>
  </w:style>
  <w:style w:type="paragraph" w:styleId="29">
    <w:name w:val="Body Text"/>
    <w:basedOn w:val="1"/>
    <w:link w:val="142"/>
    <w:qFormat/>
    <w:uiPriority w:val="0"/>
    <w:pPr>
      <w:spacing w:after="120" w:line="240" w:lineRule="auto"/>
      <w:ind w:firstLine="0" w:firstLineChars="0"/>
    </w:pPr>
    <w:rPr>
      <w:sz w:val="21"/>
    </w:rPr>
  </w:style>
  <w:style w:type="paragraph" w:styleId="30">
    <w:name w:val="Body Text Indent"/>
    <w:basedOn w:val="1"/>
    <w:link w:val="151"/>
    <w:qFormat/>
    <w:uiPriority w:val="0"/>
    <w:pPr>
      <w:spacing w:after="120" w:line="240" w:lineRule="auto"/>
      <w:ind w:left="420" w:leftChars="200" w:firstLine="0" w:firstLineChars="0"/>
    </w:pPr>
    <w:rPr>
      <w:sz w:val="21"/>
    </w:rPr>
  </w:style>
  <w:style w:type="paragraph" w:styleId="31">
    <w:name w:val="List Number 3"/>
    <w:basedOn w:val="1"/>
    <w:qFormat/>
    <w:uiPriority w:val="0"/>
    <w:pPr>
      <w:numPr>
        <w:ilvl w:val="0"/>
        <w:numId w:val="7"/>
      </w:numPr>
      <w:spacing w:line="240" w:lineRule="auto"/>
    </w:pPr>
    <w:rPr>
      <w:sz w:val="21"/>
    </w:rPr>
  </w:style>
  <w:style w:type="paragraph" w:styleId="32">
    <w:name w:val="List 2"/>
    <w:basedOn w:val="1"/>
    <w:qFormat/>
    <w:uiPriority w:val="0"/>
    <w:pPr>
      <w:spacing w:line="240" w:lineRule="auto"/>
      <w:ind w:left="100" w:leftChars="200" w:hanging="200" w:hangingChars="200"/>
    </w:pPr>
    <w:rPr>
      <w:sz w:val="21"/>
    </w:rPr>
  </w:style>
  <w:style w:type="paragraph" w:styleId="33">
    <w:name w:val="List Continue"/>
    <w:basedOn w:val="1"/>
    <w:qFormat/>
    <w:uiPriority w:val="0"/>
    <w:pPr>
      <w:spacing w:after="120" w:line="240" w:lineRule="auto"/>
      <w:ind w:left="420" w:leftChars="200" w:firstLine="0" w:firstLineChars="0"/>
    </w:pPr>
    <w:rPr>
      <w:sz w:val="21"/>
    </w:rPr>
  </w:style>
  <w:style w:type="paragraph" w:styleId="34">
    <w:name w:val="Block Text"/>
    <w:basedOn w:val="1"/>
    <w:qFormat/>
    <w:uiPriority w:val="0"/>
    <w:pPr>
      <w:spacing w:after="120" w:line="240" w:lineRule="auto"/>
      <w:ind w:left="1440" w:leftChars="700" w:right="1440" w:rightChars="700" w:firstLine="0" w:firstLineChars="0"/>
    </w:pPr>
    <w:rPr>
      <w:sz w:val="21"/>
    </w:rPr>
  </w:style>
  <w:style w:type="paragraph" w:styleId="35">
    <w:name w:val="List Bullet 2"/>
    <w:basedOn w:val="1"/>
    <w:qFormat/>
    <w:uiPriority w:val="0"/>
    <w:pPr>
      <w:numPr>
        <w:ilvl w:val="0"/>
        <w:numId w:val="8"/>
      </w:numPr>
      <w:spacing w:line="240" w:lineRule="auto"/>
    </w:pPr>
    <w:rPr>
      <w:sz w:val="21"/>
    </w:rPr>
  </w:style>
  <w:style w:type="paragraph" w:styleId="36">
    <w:name w:val="HTML Address"/>
    <w:basedOn w:val="1"/>
    <w:link w:val="318"/>
    <w:qFormat/>
    <w:uiPriority w:val="0"/>
    <w:pPr>
      <w:spacing w:line="240" w:lineRule="auto"/>
      <w:ind w:firstLine="0" w:firstLineChars="0"/>
    </w:pPr>
    <w:rPr>
      <w:rFonts w:ascii="Tahoma" w:hAnsi="Tahoma"/>
      <w:i/>
      <w:iCs/>
      <w:sz w:val="21"/>
    </w:rPr>
  </w:style>
  <w:style w:type="paragraph" w:styleId="37">
    <w:name w:val="toc 5"/>
    <w:basedOn w:val="1"/>
    <w:next w:val="1"/>
    <w:qFormat/>
    <w:uiPriority w:val="39"/>
    <w:pPr>
      <w:spacing w:line="240" w:lineRule="auto"/>
      <w:ind w:left="840" w:firstLine="0" w:firstLineChars="0"/>
      <w:jc w:val="left"/>
    </w:pPr>
    <w:rPr>
      <w:sz w:val="18"/>
      <w:szCs w:val="18"/>
    </w:rPr>
  </w:style>
  <w:style w:type="paragraph" w:styleId="38">
    <w:name w:val="toc 3"/>
    <w:next w:val="1"/>
    <w:unhideWhenUsed/>
    <w:qFormat/>
    <w:uiPriority w:val="39"/>
    <w:pPr>
      <w:spacing w:line="360" w:lineRule="auto"/>
      <w:ind w:left="600" w:leftChars="200" w:hanging="400" w:hangingChars="400"/>
    </w:pPr>
    <w:rPr>
      <w:rFonts w:ascii="Times New Roman" w:hAnsi="Times New Roman" w:eastAsia="楷体" w:cs="Times New Roman"/>
      <w:kern w:val="2"/>
      <w:sz w:val="24"/>
      <w:szCs w:val="24"/>
      <w:lang w:val="en-US" w:eastAsia="zh-CN" w:bidi="ar-SA"/>
    </w:rPr>
  </w:style>
  <w:style w:type="paragraph" w:styleId="39">
    <w:name w:val="Plain Text"/>
    <w:basedOn w:val="1"/>
    <w:link w:val="123"/>
    <w:qFormat/>
    <w:uiPriority w:val="0"/>
    <w:pPr>
      <w:widowControl/>
      <w:spacing w:after="200" w:line="276" w:lineRule="auto"/>
      <w:ind w:firstLine="0" w:firstLineChars="0"/>
      <w:jc w:val="left"/>
    </w:pPr>
    <w:rPr>
      <w:rFonts w:ascii="宋体" w:hAnsi="Courier New"/>
      <w:sz w:val="21"/>
      <w:szCs w:val="20"/>
    </w:rPr>
  </w:style>
  <w:style w:type="paragraph" w:styleId="40">
    <w:name w:val="List Bullet 5"/>
    <w:basedOn w:val="1"/>
    <w:qFormat/>
    <w:uiPriority w:val="0"/>
    <w:pPr>
      <w:numPr>
        <w:ilvl w:val="0"/>
        <w:numId w:val="9"/>
      </w:numPr>
      <w:spacing w:line="240" w:lineRule="auto"/>
    </w:pPr>
    <w:rPr>
      <w:sz w:val="21"/>
    </w:rPr>
  </w:style>
  <w:style w:type="paragraph" w:styleId="41">
    <w:name w:val="List Number 4"/>
    <w:basedOn w:val="1"/>
    <w:qFormat/>
    <w:uiPriority w:val="0"/>
    <w:pPr>
      <w:numPr>
        <w:ilvl w:val="0"/>
        <w:numId w:val="10"/>
      </w:numPr>
      <w:spacing w:line="240" w:lineRule="auto"/>
    </w:pPr>
    <w:rPr>
      <w:sz w:val="21"/>
    </w:rPr>
  </w:style>
  <w:style w:type="paragraph" w:styleId="42">
    <w:name w:val="toc 8"/>
    <w:basedOn w:val="1"/>
    <w:next w:val="1"/>
    <w:qFormat/>
    <w:uiPriority w:val="39"/>
    <w:pPr>
      <w:spacing w:line="240" w:lineRule="auto"/>
      <w:ind w:left="1470" w:firstLine="0" w:firstLineChars="0"/>
      <w:jc w:val="left"/>
    </w:pPr>
    <w:rPr>
      <w:sz w:val="18"/>
      <w:szCs w:val="18"/>
    </w:rPr>
  </w:style>
  <w:style w:type="paragraph" w:styleId="43">
    <w:name w:val="Date"/>
    <w:basedOn w:val="1"/>
    <w:next w:val="1"/>
    <w:link w:val="145"/>
    <w:qFormat/>
    <w:uiPriority w:val="0"/>
    <w:pPr>
      <w:spacing w:line="240" w:lineRule="auto"/>
      <w:ind w:firstLine="0" w:firstLineChars="0"/>
    </w:pPr>
    <w:rPr>
      <w:sz w:val="28"/>
      <w:szCs w:val="20"/>
    </w:rPr>
  </w:style>
  <w:style w:type="paragraph" w:styleId="44">
    <w:name w:val="Body Text Indent 2"/>
    <w:basedOn w:val="1"/>
    <w:link w:val="152"/>
    <w:qFormat/>
    <w:uiPriority w:val="0"/>
    <w:pPr>
      <w:spacing w:after="120" w:line="480" w:lineRule="auto"/>
      <w:ind w:left="420" w:leftChars="200" w:firstLine="0" w:firstLineChars="0"/>
    </w:pPr>
    <w:rPr>
      <w:sz w:val="21"/>
    </w:rPr>
  </w:style>
  <w:style w:type="paragraph" w:styleId="45">
    <w:name w:val="endnote text"/>
    <w:basedOn w:val="1"/>
    <w:link w:val="201"/>
    <w:semiHidden/>
    <w:qFormat/>
    <w:uiPriority w:val="0"/>
    <w:pPr>
      <w:autoSpaceDE w:val="0"/>
      <w:autoSpaceDN w:val="0"/>
      <w:adjustRightInd w:val="0"/>
      <w:snapToGrid w:val="0"/>
      <w:spacing w:line="240" w:lineRule="auto"/>
      <w:ind w:firstLine="0" w:firstLineChars="0"/>
      <w:jc w:val="left"/>
    </w:pPr>
    <w:rPr>
      <w:rFonts w:ascii="宋体" w:hAnsi="Tahoma" w:cs="宋体"/>
    </w:rPr>
  </w:style>
  <w:style w:type="paragraph" w:styleId="46">
    <w:name w:val="List Continue 5"/>
    <w:basedOn w:val="1"/>
    <w:qFormat/>
    <w:uiPriority w:val="0"/>
    <w:pPr>
      <w:spacing w:after="120" w:line="240" w:lineRule="auto"/>
      <w:ind w:left="2100" w:leftChars="1000" w:firstLine="0" w:firstLineChars="0"/>
    </w:pPr>
    <w:rPr>
      <w:sz w:val="21"/>
    </w:rPr>
  </w:style>
  <w:style w:type="paragraph" w:styleId="47">
    <w:name w:val="Balloon Text"/>
    <w:basedOn w:val="1"/>
    <w:link w:val="120"/>
    <w:unhideWhenUsed/>
    <w:qFormat/>
    <w:uiPriority w:val="0"/>
    <w:pPr>
      <w:spacing w:line="240" w:lineRule="auto"/>
    </w:pPr>
    <w:rPr>
      <w:sz w:val="18"/>
      <w:szCs w:val="18"/>
    </w:rPr>
  </w:style>
  <w:style w:type="paragraph" w:styleId="48">
    <w:name w:val="footer"/>
    <w:basedOn w:val="1"/>
    <w:link w:val="93"/>
    <w:unhideWhenUsed/>
    <w:qFormat/>
    <w:uiPriority w:val="99"/>
    <w:pPr>
      <w:tabs>
        <w:tab w:val="center" w:pos="4153"/>
        <w:tab w:val="right" w:pos="8306"/>
      </w:tabs>
      <w:snapToGrid w:val="0"/>
      <w:jc w:val="left"/>
    </w:pPr>
    <w:rPr>
      <w:sz w:val="18"/>
      <w:szCs w:val="18"/>
    </w:rPr>
  </w:style>
  <w:style w:type="paragraph" w:styleId="49">
    <w:name w:val="envelope return"/>
    <w:basedOn w:val="1"/>
    <w:qFormat/>
    <w:uiPriority w:val="0"/>
    <w:pPr>
      <w:snapToGrid w:val="0"/>
      <w:spacing w:line="240" w:lineRule="auto"/>
      <w:ind w:firstLine="0" w:firstLineChars="0"/>
    </w:pPr>
    <w:rPr>
      <w:rFonts w:ascii="Arial" w:hAnsi="Arial" w:cs="Arial"/>
      <w:sz w:val="21"/>
    </w:rPr>
  </w:style>
  <w:style w:type="paragraph" w:styleId="50">
    <w:name w:val="header"/>
    <w:basedOn w:val="1"/>
    <w:link w:val="92"/>
    <w:unhideWhenUsed/>
    <w:qFormat/>
    <w:uiPriority w:val="0"/>
    <w:pPr>
      <w:pBdr>
        <w:bottom w:val="single" w:color="auto" w:sz="6" w:space="1"/>
      </w:pBdr>
      <w:tabs>
        <w:tab w:val="center" w:pos="4153"/>
        <w:tab w:val="right" w:pos="8306"/>
      </w:tabs>
      <w:snapToGrid w:val="0"/>
      <w:jc w:val="center"/>
    </w:pPr>
    <w:rPr>
      <w:sz w:val="18"/>
      <w:szCs w:val="18"/>
    </w:rPr>
  </w:style>
  <w:style w:type="paragraph" w:styleId="51">
    <w:name w:val="Signature"/>
    <w:basedOn w:val="1"/>
    <w:link w:val="325"/>
    <w:qFormat/>
    <w:uiPriority w:val="0"/>
    <w:pPr>
      <w:spacing w:line="240" w:lineRule="auto"/>
      <w:ind w:left="100" w:leftChars="2100" w:firstLine="0" w:firstLineChars="0"/>
    </w:pPr>
    <w:rPr>
      <w:rFonts w:ascii="Tahoma" w:hAnsi="Tahoma"/>
      <w:sz w:val="21"/>
    </w:rPr>
  </w:style>
  <w:style w:type="paragraph" w:styleId="52">
    <w:name w:val="toc 1"/>
    <w:next w:val="1"/>
    <w:unhideWhenUsed/>
    <w:qFormat/>
    <w:uiPriority w:val="39"/>
    <w:pPr>
      <w:spacing w:line="360" w:lineRule="auto"/>
      <w:ind w:left="200" w:hanging="200" w:hangingChars="200"/>
      <w:jc w:val="both"/>
    </w:pPr>
    <w:rPr>
      <w:rFonts w:ascii="Times New Roman" w:hAnsi="Times New Roman" w:eastAsia="楷体" w:cs="Times New Roman"/>
      <w:kern w:val="2"/>
      <w:sz w:val="24"/>
      <w:szCs w:val="24"/>
      <w:lang w:val="en-US" w:eastAsia="zh-CN" w:bidi="ar-SA"/>
    </w:rPr>
  </w:style>
  <w:style w:type="paragraph" w:styleId="53">
    <w:name w:val="List Continue 4"/>
    <w:basedOn w:val="1"/>
    <w:qFormat/>
    <w:uiPriority w:val="0"/>
    <w:pPr>
      <w:spacing w:after="120" w:line="240" w:lineRule="auto"/>
      <w:ind w:left="1680" w:leftChars="800" w:firstLine="0" w:firstLineChars="0"/>
    </w:pPr>
    <w:rPr>
      <w:sz w:val="21"/>
    </w:rPr>
  </w:style>
  <w:style w:type="paragraph" w:styleId="54">
    <w:name w:val="toc 4"/>
    <w:basedOn w:val="1"/>
    <w:next w:val="1"/>
    <w:qFormat/>
    <w:uiPriority w:val="39"/>
    <w:pPr>
      <w:spacing w:line="240" w:lineRule="auto"/>
      <w:ind w:left="630" w:firstLine="0" w:firstLineChars="0"/>
      <w:jc w:val="left"/>
    </w:pPr>
    <w:rPr>
      <w:sz w:val="18"/>
      <w:szCs w:val="18"/>
    </w:rPr>
  </w:style>
  <w:style w:type="paragraph" w:styleId="55">
    <w:name w:val="Subtitle"/>
    <w:basedOn w:val="1"/>
    <w:link w:val="323"/>
    <w:qFormat/>
    <w:uiPriority w:val="0"/>
    <w:pPr>
      <w:spacing w:before="240" w:after="60" w:line="312" w:lineRule="auto"/>
      <w:ind w:firstLine="0" w:firstLineChars="0"/>
      <w:jc w:val="center"/>
    </w:pPr>
    <w:rPr>
      <w:rFonts w:ascii="Arial" w:hAnsi="Arial" w:cs="Arial"/>
      <w:b/>
      <w:bCs/>
      <w:kern w:val="28"/>
      <w:szCs w:val="32"/>
    </w:rPr>
  </w:style>
  <w:style w:type="paragraph" w:styleId="56">
    <w:name w:val="List Number 5"/>
    <w:basedOn w:val="1"/>
    <w:qFormat/>
    <w:uiPriority w:val="0"/>
    <w:pPr>
      <w:numPr>
        <w:ilvl w:val="0"/>
        <w:numId w:val="11"/>
      </w:numPr>
      <w:spacing w:line="240" w:lineRule="auto"/>
    </w:pPr>
    <w:rPr>
      <w:sz w:val="21"/>
    </w:rPr>
  </w:style>
  <w:style w:type="paragraph" w:styleId="57">
    <w:name w:val="List"/>
    <w:basedOn w:val="1"/>
    <w:qFormat/>
    <w:uiPriority w:val="0"/>
    <w:pPr>
      <w:spacing w:line="240" w:lineRule="auto"/>
      <w:ind w:left="200" w:hanging="200" w:hangingChars="200"/>
    </w:pPr>
    <w:rPr>
      <w:sz w:val="21"/>
    </w:rPr>
  </w:style>
  <w:style w:type="paragraph" w:styleId="58">
    <w:name w:val="footnote text"/>
    <w:basedOn w:val="1"/>
    <w:link w:val="268"/>
    <w:qFormat/>
    <w:uiPriority w:val="0"/>
    <w:pPr>
      <w:adjustRightInd w:val="0"/>
      <w:snapToGrid w:val="0"/>
      <w:spacing w:line="400" w:lineRule="exact"/>
      <w:ind w:firstLine="601" w:firstLineChars="0"/>
      <w:jc w:val="left"/>
      <w:textAlignment w:val="baseline"/>
    </w:pPr>
    <w:rPr>
      <w:rFonts w:ascii="Tahoma" w:hAnsi="Tahoma" w:eastAsia="楷体_GB2312"/>
      <w:spacing w:val="8"/>
      <w:sz w:val="18"/>
      <w:szCs w:val="18"/>
    </w:rPr>
  </w:style>
  <w:style w:type="paragraph" w:styleId="59">
    <w:name w:val="toc 6"/>
    <w:basedOn w:val="1"/>
    <w:next w:val="1"/>
    <w:qFormat/>
    <w:uiPriority w:val="39"/>
    <w:pPr>
      <w:spacing w:line="240" w:lineRule="auto"/>
      <w:ind w:left="1050" w:firstLine="0" w:firstLineChars="0"/>
      <w:jc w:val="left"/>
    </w:pPr>
    <w:rPr>
      <w:sz w:val="18"/>
      <w:szCs w:val="18"/>
    </w:rPr>
  </w:style>
  <w:style w:type="paragraph" w:styleId="60">
    <w:name w:val="List 5"/>
    <w:basedOn w:val="1"/>
    <w:qFormat/>
    <w:uiPriority w:val="0"/>
    <w:pPr>
      <w:spacing w:line="240" w:lineRule="auto"/>
      <w:ind w:left="100" w:leftChars="800" w:hanging="200" w:hangingChars="200"/>
    </w:pPr>
    <w:rPr>
      <w:sz w:val="21"/>
    </w:rPr>
  </w:style>
  <w:style w:type="paragraph" w:styleId="61">
    <w:name w:val="Body Text Indent 3"/>
    <w:basedOn w:val="1"/>
    <w:link w:val="181"/>
    <w:qFormat/>
    <w:uiPriority w:val="0"/>
    <w:pPr>
      <w:spacing w:line="240" w:lineRule="auto"/>
      <w:ind w:left="645" w:firstLine="645" w:firstLineChars="0"/>
    </w:pPr>
    <w:rPr>
      <w:rFonts w:ascii="Arial" w:hAnsi="Arial" w:eastAsia="仿宋_GB2312" w:cs="Arial"/>
      <w:color w:val="FFFF00"/>
      <w:szCs w:val="32"/>
    </w:rPr>
  </w:style>
  <w:style w:type="paragraph" w:styleId="62">
    <w:name w:val="table of figures"/>
    <w:basedOn w:val="1"/>
    <w:next w:val="1"/>
    <w:semiHidden/>
    <w:qFormat/>
    <w:uiPriority w:val="0"/>
    <w:pPr>
      <w:spacing w:line="240" w:lineRule="auto"/>
      <w:ind w:left="840" w:hanging="420" w:firstLineChars="0"/>
    </w:pPr>
    <w:rPr>
      <w:sz w:val="21"/>
      <w:szCs w:val="21"/>
    </w:rPr>
  </w:style>
  <w:style w:type="paragraph" w:styleId="63">
    <w:name w:val="toc 2"/>
    <w:next w:val="1"/>
    <w:unhideWhenUsed/>
    <w:qFormat/>
    <w:uiPriority w:val="39"/>
    <w:pPr>
      <w:spacing w:line="360" w:lineRule="auto"/>
      <w:ind w:left="300" w:leftChars="100" w:hanging="200" w:hangingChars="200"/>
    </w:pPr>
    <w:rPr>
      <w:rFonts w:ascii="Times New Roman" w:hAnsi="Times New Roman" w:eastAsia="楷体" w:cs="Times New Roman"/>
      <w:kern w:val="2"/>
      <w:sz w:val="24"/>
      <w:szCs w:val="24"/>
      <w:lang w:val="en-US" w:eastAsia="zh-CN" w:bidi="ar-SA"/>
    </w:rPr>
  </w:style>
  <w:style w:type="paragraph" w:styleId="64">
    <w:name w:val="toc 9"/>
    <w:basedOn w:val="1"/>
    <w:next w:val="1"/>
    <w:qFormat/>
    <w:uiPriority w:val="39"/>
    <w:pPr>
      <w:spacing w:line="240" w:lineRule="auto"/>
      <w:ind w:left="1680" w:firstLine="0" w:firstLineChars="0"/>
      <w:jc w:val="left"/>
    </w:pPr>
    <w:rPr>
      <w:sz w:val="18"/>
      <w:szCs w:val="18"/>
    </w:rPr>
  </w:style>
  <w:style w:type="paragraph" w:styleId="65">
    <w:name w:val="Body Text 2"/>
    <w:basedOn w:val="1"/>
    <w:link w:val="136"/>
    <w:qFormat/>
    <w:uiPriority w:val="0"/>
    <w:pPr>
      <w:spacing w:after="120" w:line="480" w:lineRule="auto"/>
      <w:ind w:firstLine="0" w:firstLineChars="0"/>
    </w:pPr>
    <w:rPr>
      <w:sz w:val="21"/>
    </w:rPr>
  </w:style>
  <w:style w:type="paragraph" w:styleId="66">
    <w:name w:val="List 4"/>
    <w:basedOn w:val="1"/>
    <w:qFormat/>
    <w:uiPriority w:val="0"/>
    <w:pPr>
      <w:spacing w:line="240" w:lineRule="auto"/>
      <w:ind w:left="100" w:leftChars="600" w:hanging="200" w:hangingChars="200"/>
    </w:pPr>
    <w:rPr>
      <w:sz w:val="21"/>
    </w:rPr>
  </w:style>
  <w:style w:type="paragraph" w:styleId="67">
    <w:name w:val="List Continue 2"/>
    <w:basedOn w:val="1"/>
    <w:qFormat/>
    <w:uiPriority w:val="0"/>
    <w:pPr>
      <w:spacing w:after="120" w:line="240" w:lineRule="auto"/>
      <w:ind w:left="840" w:leftChars="400" w:firstLine="0" w:firstLineChars="0"/>
    </w:pPr>
    <w:rPr>
      <w:sz w:val="21"/>
    </w:rPr>
  </w:style>
  <w:style w:type="paragraph" w:styleId="68">
    <w:name w:val="Message Header"/>
    <w:basedOn w:val="1"/>
    <w:link w:val="166"/>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宋体" w:hAnsi="Courier New" w:cstheme="minorBidi"/>
      <w:sz w:val="21"/>
      <w:szCs w:val="22"/>
    </w:rPr>
  </w:style>
  <w:style w:type="paragraph" w:styleId="69">
    <w:name w:val="HTML Preformatted"/>
    <w:basedOn w:val="1"/>
    <w:link w:val="319"/>
    <w:qFormat/>
    <w:uiPriority w:val="99"/>
    <w:pPr>
      <w:spacing w:line="240" w:lineRule="auto"/>
      <w:ind w:firstLine="0" w:firstLineChars="0"/>
    </w:pPr>
    <w:rPr>
      <w:rFonts w:ascii="Courier New" w:hAnsi="Courier New" w:cs="Courier New"/>
    </w:rPr>
  </w:style>
  <w:style w:type="paragraph" w:styleId="70">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71">
    <w:name w:val="List Continue 3"/>
    <w:basedOn w:val="1"/>
    <w:qFormat/>
    <w:uiPriority w:val="0"/>
    <w:pPr>
      <w:spacing w:after="120" w:line="240" w:lineRule="auto"/>
      <w:ind w:left="1260" w:leftChars="600" w:firstLine="0" w:firstLineChars="0"/>
    </w:pPr>
    <w:rPr>
      <w:sz w:val="21"/>
    </w:rPr>
  </w:style>
  <w:style w:type="paragraph" w:styleId="72">
    <w:name w:val="index 1"/>
    <w:basedOn w:val="1"/>
    <w:next w:val="1"/>
    <w:semiHidden/>
    <w:qFormat/>
    <w:uiPriority w:val="0"/>
    <w:pPr>
      <w:ind w:firstLine="0" w:firstLineChars="0"/>
      <w:jc w:val="center"/>
    </w:pPr>
    <w:rPr>
      <w:rFonts w:ascii="幼圆" w:hAnsi="宋体" w:eastAsia="幼圆"/>
    </w:rPr>
  </w:style>
  <w:style w:type="paragraph" w:styleId="73">
    <w:name w:val="Title"/>
    <w:basedOn w:val="1"/>
    <w:link w:val="157"/>
    <w:qFormat/>
    <w:uiPriority w:val="10"/>
    <w:pPr>
      <w:spacing w:before="240" w:after="60" w:line="240" w:lineRule="auto"/>
      <w:ind w:firstLine="0" w:firstLineChars="0"/>
      <w:jc w:val="center"/>
      <w:outlineLvl w:val="0"/>
    </w:pPr>
    <w:rPr>
      <w:rFonts w:ascii="宋体" w:hAnsi="Courier New" w:cstheme="minorBidi"/>
      <w:sz w:val="21"/>
      <w:szCs w:val="22"/>
    </w:rPr>
  </w:style>
  <w:style w:type="paragraph" w:styleId="74">
    <w:name w:val="annotation subject"/>
    <w:basedOn w:val="24"/>
    <w:next w:val="24"/>
    <w:link w:val="119"/>
    <w:unhideWhenUsed/>
    <w:qFormat/>
    <w:uiPriority w:val="0"/>
    <w:rPr>
      <w:b/>
      <w:bCs/>
    </w:rPr>
  </w:style>
  <w:style w:type="paragraph" w:styleId="75">
    <w:name w:val="Body Text First Indent"/>
    <w:basedOn w:val="29"/>
    <w:link w:val="159"/>
    <w:qFormat/>
    <w:uiPriority w:val="0"/>
    <w:pPr>
      <w:ind w:firstLine="420" w:firstLineChars="100"/>
    </w:pPr>
  </w:style>
  <w:style w:type="paragraph" w:styleId="76">
    <w:name w:val="Body Text First Indent 2"/>
    <w:basedOn w:val="30"/>
    <w:link w:val="162"/>
    <w:qFormat/>
    <w:uiPriority w:val="0"/>
    <w:pPr>
      <w:ind w:firstLine="420" w:firstLineChars="200"/>
    </w:pPr>
    <w:rPr>
      <w:szCs w:val="20"/>
    </w:rPr>
  </w:style>
  <w:style w:type="table" w:styleId="78">
    <w:name w:val="Table Grid"/>
    <w:basedOn w:val="7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Grid 1"/>
    <w:basedOn w:val="77"/>
    <w:qFormat/>
    <w:uiPriority w:val="0"/>
    <w:pPr>
      <w:widowControl w:val="0"/>
      <w:adjustRightInd w:val="0"/>
      <w:spacing w:line="400" w:lineRule="exact"/>
      <w:ind w:firstLine="601"/>
      <w:jc w:val="both"/>
      <w:textAlignment w:val="baseline"/>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80">
    <w:name w:val="Table Grid 8"/>
    <w:basedOn w:val="77"/>
    <w:qFormat/>
    <w:uiPriority w:val="0"/>
    <w:pPr>
      <w:widowControl w:val="0"/>
      <w:adjustRightInd w:val="0"/>
      <w:spacing w:line="400" w:lineRule="exact"/>
      <w:ind w:firstLine="601"/>
      <w:jc w:val="both"/>
      <w:textAlignment w:val="baseline"/>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81">
    <w:name w:val="Table Professional"/>
    <w:basedOn w:val="77"/>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82">
    <w:name w:val="Light List Accent 5"/>
    <w:qFormat/>
    <w:uiPriority w:val="34"/>
    <w:pPr>
      <w:ind w:firstLine="420" w:firstLineChars="200"/>
    </w:pPr>
    <w:rPr>
      <w:rFonts w:ascii="Calibri" w:hAnsi="Calibri" w:eastAsia="宋体" w:cs="Times New Roman"/>
    </w:rPr>
    <w:tblPr>
      <w:tblBorders>
        <w:top w:val="single" w:color="4BACC6" w:sz="8" w:space="0"/>
        <w:left w:val="single" w:color="4BACC6" w:sz="8" w:space="0"/>
        <w:bottom w:val="single" w:color="4BACC6" w:sz="8" w:space="0"/>
        <w:right w:val="single" w:color="4BACC6" w:sz="8" w:space="0"/>
      </w:tblBorders>
      <w:tblCellMar>
        <w:top w:w="0" w:type="dxa"/>
        <w:left w:w="0" w:type="dxa"/>
        <w:bottom w:w="0" w:type="dxa"/>
        <w:right w:w="0"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83">
    <w:name w:val="Medium Shading 1 Accent 2"/>
    <w:qFormat/>
    <w:uiPriority w:val="1"/>
    <w:pPr>
      <w:widowControl w:val="0"/>
      <w:spacing w:before="50" w:beforeLines="50"/>
      <w:jc w:val="both"/>
    </w:pPr>
    <w:rPr>
      <w:rFonts w:ascii="Calibri" w:hAnsi="Calibri" w:eastAsia="仿宋" w:cs="Times New Roman"/>
      <w:sz w:val="28"/>
    </w:rPr>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0" w:type="dxa"/>
        <w:bottom w:w="0" w:type="dxa"/>
        <w:right w:w="0" w:type="dxa"/>
      </w:tblCellMar>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84">
    <w:name w:val="Medium Grid 1 Accent 3"/>
    <w:qFormat/>
    <w:uiPriority w:val="1"/>
    <w:rPr>
      <w:rFonts w:ascii="Calibri" w:hAnsi="Calibri" w:eastAsia="宋体" w:cs="Times New Roman"/>
      <w:sz w:val="22"/>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0" w:type="dxa"/>
        <w:bottom w:w="0" w:type="dxa"/>
        <w:right w:w="0" w:type="dxa"/>
      </w:tblCellMar>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86">
    <w:name w:val="Strong"/>
    <w:qFormat/>
    <w:uiPriority w:val="22"/>
    <w:rPr>
      <w:b/>
      <w:bCs/>
    </w:rPr>
  </w:style>
  <w:style w:type="character" w:styleId="87">
    <w:name w:val="page number"/>
    <w:basedOn w:val="85"/>
    <w:qFormat/>
    <w:uiPriority w:val="0"/>
  </w:style>
  <w:style w:type="character" w:styleId="88">
    <w:name w:val="FollowedHyperlink"/>
    <w:qFormat/>
    <w:uiPriority w:val="99"/>
    <w:rPr>
      <w:rFonts w:ascii="Tahoma" w:hAnsi="Tahoma" w:eastAsia="宋体"/>
      <w:color w:val="800080"/>
      <w:kern w:val="2"/>
      <w:sz w:val="24"/>
      <w:szCs w:val="24"/>
      <w:u w:val="single"/>
      <w:lang w:val="en-US" w:eastAsia="zh-CN" w:bidi="ar-SA"/>
    </w:rPr>
  </w:style>
  <w:style w:type="character" w:styleId="89">
    <w:name w:val="Hyperlink"/>
    <w:basedOn w:val="85"/>
    <w:unhideWhenUsed/>
    <w:qFormat/>
    <w:uiPriority w:val="99"/>
    <w:rPr>
      <w:color w:val="0563C1" w:themeColor="hyperlink"/>
      <w:u w:val="single"/>
      <w14:textFill>
        <w14:solidFill>
          <w14:schemeClr w14:val="hlink"/>
        </w14:solidFill>
      </w14:textFill>
    </w:rPr>
  </w:style>
  <w:style w:type="character" w:styleId="90">
    <w:name w:val="annotation reference"/>
    <w:basedOn w:val="85"/>
    <w:unhideWhenUsed/>
    <w:qFormat/>
    <w:uiPriority w:val="0"/>
    <w:rPr>
      <w:sz w:val="21"/>
      <w:szCs w:val="21"/>
    </w:rPr>
  </w:style>
  <w:style w:type="character" w:styleId="91">
    <w:name w:val="footnote reference"/>
    <w:qFormat/>
    <w:uiPriority w:val="0"/>
    <w:rPr>
      <w:rFonts w:ascii="Tahoma" w:hAnsi="Tahoma" w:eastAsia="宋体"/>
      <w:kern w:val="2"/>
      <w:sz w:val="24"/>
      <w:szCs w:val="24"/>
      <w:vertAlign w:val="superscript"/>
      <w:lang w:val="en-US" w:eastAsia="zh-CN" w:bidi="ar-SA"/>
    </w:rPr>
  </w:style>
  <w:style w:type="character" w:customStyle="1" w:styleId="92">
    <w:name w:val="页眉 字符"/>
    <w:basedOn w:val="85"/>
    <w:link w:val="50"/>
    <w:qFormat/>
    <w:uiPriority w:val="99"/>
    <w:rPr>
      <w:sz w:val="18"/>
      <w:szCs w:val="18"/>
    </w:rPr>
  </w:style>
  <w:style w:type="character" w:customStyle="1" w:styleId="93">
    <w:name w:val="页脚 字符"/>
    <w:basedOn w:val="85"/>
    <w:link w:val="48"/>
    <w:qFormat/>
    <w:uiPriority w:val="99"/>
    <w:rPr>
      <w:sz w:val="18"/>
      <w:szCs w:val="18"/>
    </w:rPr>
  </w:style>
  <w:style w:type="character" w:customStyle="1" w:styleId="94">
    <w:name w:val="标题 1 字符"/>
    <w:basedOn w:val="85"/>
    <w:link w:val="2"/>
    <w:qFormat/>
    <w:uiPriority w:val="9"/>
    <w:rPr>
      <w:rFonts w:ascii="Times New Roman" w:hAnsi="Times New Roman" w:eastAsia="黑体" w:cs="Times New Roman"/>
      <w:b/>
      <w:bCs/>
      <w:kern w:val="44"/>
      <w:sz w:val="32"/>
      <w:szCs w:val="44"/>
    </w:rPr>
  </w:style>
  <w:style w:type="character" w:customStyle="1" w:styleId="95">
    <w:name w:val="标题 2 字符"/>
    <w:basedOn w:val="85"/>
    <w:link w:val="3"/>
    <w:qFormat/>
    <w:uiPriority w:val="9"/>
    <w:rPr>
      <w:rFonts w:ascii="Times New Roman" w:hAnsi="Times New Roman" w:eastAsia="黑体" w:cs="Times New Roman"/>
      <w:b/>
      <w:bCs/>
      <w:kern w:val="2"/>
      <w:sz w:val="28"/>
      <w:szCs w:val="28"/>
    </w:rPr>
  </w:style>
  <w:style w:type="character" w:customStyle="1" w:styleId="96">
    <w:name w:val="标题 3 字符"/>
    <w:basedOn w:val="85"/>
    <w:link w:val="4"/>
    <w:qFormat/>
    <w:uiPriority w:val="9"/>
    <w:rPr>
      <w:rFonts w:ascii="Times New Roman" w:hAnsi="Times New Roman" w:eastAsia="黑体" w:cs="Times New Roman"/>
      <w:b/>
      <w:bCs/>
      <w:kern w:val="2"/>
      <w:sz w:val="28"/>
      <w:szCs w:val="28"/>
    </w:rPr>
  </w:style>
  <w:style w:type="character" w:customStyle="1" w:styleId="97">
    <w:name w:val="标题 4 字符"/>
    <w:basedOn w:val="85"/>
    <w:link w:val="5"/>
    <w:qFormat/>
    <w:uiPriority w:val="9"/>
    <w:rPr>
      <w:rFonts w:ascii="Times New Roman" w:hAnsi="Times New Roman" w:eastAsia="宋体" w:cs="Times New Roman"/>
      <w:b/>
      <w:bCs/>
      <w:kern w:val="2"/>
      <w:sz w:val="28"/>
      <w:szCs w:val="28"/>
    </w:rPr>
  </w:style>
  <w:style w:type="character" w:customStyle="1" w:styleId="98">
    <w:name w:val="标题 5 字符"/>
    <w:basedOn w:val="85"/>
    <w:link w:val="6"/>
    <w:qFormat/>
    <w:uiPriority w:val="9"/>
    <w:rPr>
      <w:rFonts w:ascii="Times New Roman" w:hAnsi="Times New Roman" w:eastAsia="宋体" w:cs="Times New Roman"/>
      <w:b/>
      <w:bCs/>
      <w:kern w:val="2"/>
      <w:sz w:val="28"/>
      <w:szCs w:val="28"/>
    </w:rPr>
  </w:style>
  <w:style w:type="character" w:customStyle="1" w:styleId="99">
    <w:name w:val="标题 6 字符"/>
    <w:basedOn w:val="85"/>
    <w:link w:val="7"/>
    <w:qFormat/>
    <w:uiPriority w:val="9"/>
    <w:rPr>
      <w:rFonts w:ascii="Times New Roman" w:hAnsi="Times New Roman" w:eastAsia="宋体" w:cs="Times New Roman"/>
      <w:b/>
      <w:bCs/>
      <w:kern w:val="2"/>
      <w:sz w:val="28"/>
      <w:szCs w:val="28"/>
    </w:rPr>
  </w:style>
  <w:style w:type="character" w:customStyle="1" w:styleId="100">
    <w:name w:val="标题 7 字符"/>
    <w:basedOn w:val="85"/>
    <w:link w:val="8"/>
    <w:qFormat/>
    <w:uiPriority w:val="0"/>
    <w:rPr>
      <w:rFonts w:ascii="Times New Roman" w:hAnsi="Times New Roman" w:eastAsia="宋体" w:cs="Times New Roman"/>
      <w:b/>
      <w:bCs/>
      <w:kern w:val="2"/>
      <w:sz w:val="28"/>
      <w:szCs w:val="28"/>
    </w:rPr>
  </w:style>
  <w:style w:type="character" w:customStyle="1" w:styleId="101">
    <w:name w:val="标题 8 字符"/>
    <w:basedOn w:val="85"/>
    <w:link w:val="9"/>
    <w:qFormat/>
    <w:uiPriority w:val="0"/>
    <w:rPr>
      <w:rFonts w:ascii="Arial" w:hAnsi="Arial" w:eastAsia="黑体" w:cs="Times New Roman"/>
      <w:kern w:val="2"/>
      <w:sz w:val="28"/>
      <w:szCs w:val="28"/>
    </w:rPr>
  </w:style>
  <w:style w:type="character" w:customStyle="1" w:styleId="102">
    <w:name w:val="标题 9 字符"/>
    <w:basedOn w:val="85"/>
    <w:link w:val="10"/>
    <w:qFormat/>
    <w:uiPriority w:val="0"/>
    <w:rPr>
      <w:rFonts w:ascii="Arial" w:hAnsi="Arial" w:eastAsia="黑体" w:cs="Times New Roman"/>
      <w:kern w:val="2"/>
      <w:sz w:val="32"/>
      <w:szCs w:val="21"/>
    </w:rPr>
  </w:style>
  <w:style w:type="paragraph" w:customStyle="1" w:styleId="103">
    <w:name w:val="四号正文"/>
    <w:basedOn w:val="1"/>
    <w:qFormat/>
    <w:uiPriority w:val="0"/>
    <w:pPr>
      <w:ind w:firstLine="560"/>
    </w:pPr>
    <w:rPr>
      <w:sz w:val="28"/>
      <w:szCs w:val="28"/>
    </w:rPr>
  </w:style>
  <w:style w:type="paragraph" w:customStyle="1" w:styleId="104">
    <w:name w:val="标点正文"/>
    <w:basedOn w:val="1"/>
    <w:qFormat/>
    <w:uiPriority w:val="0"/>
    <w:pPr>
      <w:numPr>
        <w:ilvl w:val="0"/>
        <w:numId w:val="12"/>
      </w:numPr>
      <w:tabs>
        <w:tab w:val="left" w:pos="1120"/>
        <w:tab w:val="clear" w:pos="980"/>
      </w:tabs>
      <w:ind w:left="1133" w:leftChars="250" w:hanging="608" w:hangingChars="217"/>
    </w:pPr>
    <w:rPr>
      <w:sz w:val="28"/>
      <w:szCs w:val="28"/>
    </w:rPr>
  </w:style>
  <w:style w:type="paragraph" w:customStyle="1" w:styleId="105">
    <w:name w:val="封面"/>
    <w:basedOn w:val="1"/>
    <w:link w:val="107"/>
    <w:qFormat/>
    <w:uiPriority w:val="0"/>
    <w:pPr>
      <w:spacing w:line="240" w:lineRule="auto"/>
      <w:ind w:firstLine="0" w:firstLineChars="0"/>
      <w:jc w:val="center"/>
    </w:pPr>
    <w:rPr>
      <w:rFonts w:ascii="宋体" w:hAnsi="宋体"/>
      <w:b/>
      <w:sz w:val="72"/>
    </w:rPr>
  </w:style>
  <w:style w:type="paragraph" w:customStyle="1" w:styleId="106">
    <w:name w:val="技术商务文件"/>
    <w:basedOn w:val="1"/>
    <w:link w:val="109"/>
    <w:qFormat/>
    <w:uiPriority w:val="0"/>
    <w:pPr>
      <w:widowControl/>
      <w:spacing w:before="200" w:after="200" w:line="271" w:lineRule="auto"/>
      <w:ind w:firstLine="0" w:firstLineChars="0"/>
      <w:jc w:val="center"/>
      <w:outlineLvl w:val="1"/>
    </w:pPr>
    <w:rPr>
      <w:rFonts w:ascii="Calibri" w:hAnsi="Calibri"/>
      <w:b/>
      <w:smallCaps/>
      <w:kern w:val="0"/>
      <w:sz w:val="48"/>
      <w:szCs w:val="48"/>
      <w:lang w:val="zh-CN"/>
    </w:rPr>
  </w:style>
  <w:style w:type="character" w:customStyle="1" w:styleId="107">
    <w:name w:val="封面 字符"/>
    <w:basedOn w:val="85"/>
    <w:link w:val="105"/>
    <w:qFormat/>
    <w:uiPriority w:val="0"/>
    <w:rPr>
      <w:rFonts w:ascii="宋体" w:hAnsi="宋体" w:eastAsia="宋体" w:cs="Times New Roman"/>
      <w:b/>
      <w:sz w:val="72"/>
      <w:szCs w:val="24"/>
    </w:rPr>
  </w:style>
  <w:style w:type="paragraph" w:customStyle="1" w:styleId="108">
    <w:name w:val="正副本"/>
    <w:basedOn w:val="1"/>
    <w:link w:val="110"/>
    <w:qFormat/>
    <w:uiPriority w:val="0"/>
    <w:pPr>
      <w:widowControl/>
      <w:spacing w:after="200" w:line="276" w:lineRule="auto"/>
      <w:ind w:firstLine="0" w:firstLineChars="0"/>
      <w:jc w:val="center"/>
    </w:pPr>
    <w:rPr>
      <w:rFonts w:ascii="Calibri" w:hAnsi="Calibri"/>
      <w:kern w:val="0"/>
      <w:sz w:val="36"/>
      <w:szCs w:val="36"/>
      <w:lang w:bidi="en-US"/>
    </w:rPr>
  </w:style>
  <w:style w:type="character" w:customStyle="1" w:styleId="109">
    <w:name w:val="技术商务文件 字符"/>
    <w:basedOn w:val="85"/>
    <w:link w:val="106"/>
    <w:qFormat/>
    <w:uiPriority w:val="0"/>
    <w:rPr>
      <w:rFonts w:ascii="Calibri" w:hAnsi="Calibri" w:eastAsia="宋体" w:cs="Times New Roman"/>
      <w:b/>
      <w:smallCaps/>
      <w:kern w:val="0"/>
      <w:sz w:val="48"/>
      <w:szCs w:val="48"/>
      <w:lang w:val="zh-CN"/>
    </w:rPr>
  </w:style>
  <w:style w:type="character" w:customStyle="1" w:styleId="110">
    <w:name w:val="正副本 字符"/>
    <w:basedOn w:val="85"/>
    <w:link w:val="108"/>
    <w:qFormat/>
    <w:uiPriority w:val="0"/>
    <w:rPr>
      <w:rFonts w:ascii="Calibri" w:hAnsi="Calibri" w:eastAsia="宋体" w:cs="Times New Roman"/>
      <w:kern w:val="0"/>
      <w:sz w:val="36"/>
      <w:szCs w:val="36"/>
      <w:lang w:bidi="en-US"/>
    </w:rPr>
  </w:style>
  <w:style w:type="paragraph" w:customStyle="1" w:styleId="111">
    <w:name w:val="封面项"/>
    <w:basedOn w:val="1"/>
    <w:link w:val="113"/>
    <w:qFormat/>
    <w:uiPriority w:val="0"/>
    <w:pPr>
      <w:ind w:left="2982" w:leftChars="238" w:hanging="2411" w:hangingChars="667"/>
    </w:pPr>
    <w:rPr>
      <w:rFonts w:ascii="宋体" w:hAnsi="宋体"/>
      <w:b/>
      <w:sz w:val="36"/>
    </w:rPr>
  </w:style>
  <w:style w:type="paragraph" w:customStyle="1" w:styleId="112">
    <w:name w:val="TOC 标题1"/>
    <w:basedOn w:val="2"/>
    <w:next w:val="1"/>
    <w:unhideWhenUsed/>
    <w:qFormat/>
    <w:uiPriority w:val="39"/>
    <w:pPr>
      <w:pageBreakBefore w:val="0"/>
      <w:numPr>
        <w:numId w:val="0"/>
      </w:numPr>
      <w:spacing w:before="24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13">
    <w:name w:val="封面项 字符"/>
    <w:basedOn w:val="85"/>
    <w:link w:val="111"/>
    <w:qFormat/>
    <w:uiPriority w:val="0"/>
    <w:rPr>
      <w:rFonts w:ascii="宋体" w:hAnsi="宋体" w:eastAsia="宋体" w:cs="Times New Roman"/>
      <w:b/>
      <w:sz w:val="36"/>
      <w:szCs w:val="24"/>
    </w:rPr>
  </w:style>
  <w:style w:type="paragraph" w:customStyle="1" w:styleId="114">
    <w:name w:val="pic mid"/>
    <w:link w:val="116"/>
    <w:qFormat/>
    <w:uiPriority w:val="0"/>
    <w:pPr>
      <w:widowControl w:val="0"/>
      <w:spacing w:line="360" w:lineRule="auto"/>
      <w:jc w:val="center"/>
    </w:pPr>
    <w:rPr>
      <w:rFonts w:ascii="Times New Roman" w:hAnsi="Times New Roman" w:eastAsia="楷体" w:cs="Times New Roman"/>
      <w:bCs/>
      <w:kern w:val="2"/>
      <w:sz w:val="28"/>
      <w:szCs w:val="32"/>
      <w:lang w:val="en-US" w:eastAsia="zh-CN" w:bidi="ar-SA"/>
    </w:rPr>
  </w:style>
  <w:style w:type="paragraph" w:customStyle="1" w:styleId="115">
    <w:name w:val="抬头"/>
    <w:basedOn w:val="1"/>
    <w:link w:val="117"/>
    <w:qFormat/>
    <w:uiPriority w:val="0"/>
    <w:pPr>
      <w:ind w:firstLine="0" w:firstLineChars="0"/>
    </w:pPr>
  </w:style>
  <w:style w:type="character" w:customStyle="1" w:styleId="116">
    <w:name w:val="pic mid 字符"/>
    <w:basedOn w:val="96"/>
    <w:link w:val="114"/>
    <w:qFormat/>
    <w:uiPriority w:val="0"/>
    <w:rPr>
      <w:rFonts w:ascii="Times New Roman" w:hAnsi="Times New Roman" w:eastAsia="楷体" w:cs="Times New Roman"/>
      <w:kern w:val="2"/>
      <w:sz w:val="28"/>
      <w:szCs w:val="32"/>
    </w:rPr>
  </w:style>
  <w:style w:type="character" w:customStyle="1" w:styleId="117">
    <w:name w:val="抬头 字符"/>
    <w:basedOn w:val="85"/>
    <w:link w:val="115"/>
    <w:qFormat/>
    <w:uiPriority w:val="0"/>
    <w:rPr>
      <w:rFonts w:ascii="Times New Roman" w:hAnsi="Times New Roman" w:eastAsia="宋体" w:cs="Times New Roman"/>
      <w:sz w:val="24"/>
      <w:szCs w:val="24"/>
    </w:rPr>
  </w:style>
  <w:style w:type="character" w:customStyle="1" w:styleId="118">
    <w:name w:val="批注文字 字符"/>
    <w:basedOn w:val="85"/>
    <w:link w:val="24"/>
    <w:qFormat/>
    <w:uiPriority w:val="0"/>
    <w:rPr>
      <w:rFonts w:ascii="Times New Roman" w:hAnsi="Times New Roman" w:eastAsia="宋体" w:cs="Times New Roman"/>
      <w:sz w:val="24"/>
      <w:szCs w:val="24"/>
    </w:rPr>
  </w:style>
  <w:style w:type="character" w:customStyle="1" w:styleId="119">
    <w:name w:val="批注主题 字符"/>
    <w:basedOn w:val="118"/>
    <w:link w:val="74"/>
    <w:qFormat/>
    <w:uiPriority w:val="0"/>
    <w:rPr>
      <w:rFonts w:ascii="Times New Roman" w:hAnsi="Times New Roman" w:eastAsia="宋体" w:cs="Times New Roman"/>
      <w:b/>
      <w:bCs/>
      <w:sz w:val="24"/>
      <w:szCs w:val="24"/>
    </w:rPr>
  </w:style>
  <w:style w:type="character" w:customStyle="1" w:styleId="120">
    <w:name w:val="批注框文本 字符"/>
    <w:basedOn w:val="85"/>
    <w:link w:val="47"/>
    <w:qFormat/>
    <w:uiPriority w:val="99"/>
    <w:rPr>
      <w:rFonts w:ascii="Times New Roman" w:hAnsi="Times New Roman" w:eastAsia="宋体" w:cs="Times New Roman"/>
      <w:sz w:val="18"/>
      <w:szCs w:val="18"/>
    </w:rPr>
  </w:style>
  <w:style w:type="paragraph" w:customStyle="1" w:styleId="121">
    <w:name w:val="表格居中"/>
    <w:basedOn w:val="1"/>
    <w:link w:val="122"/>
    <w:qFormat/>
    <w:uiPriority w:val="0"/>
    <w:pPr>
      <w:widowControl/>
      <w:shd w:val="clear" w:color="auto" w:fill="FFFFFF"/>
      <w:tabs>
        <w:tab w:val="left" w:pos="540"/>
      </w:tabs>
      <w:ind w:firstLine="0" w:firstLineChars="0"/>
      <w:jc w:val="center"/>
    </w:pPr>
    <w:rPr>
      <w:spacing w:val="4"/>
      <w:sz w:val="22"/>
      <w:szCs w:val="22"/>
      <w:lang w:eastAsia="en-US" w:bidi="en-US"/>
    </w:rPr>
  </w:style>
  <w:style w:type="character" w:customStyle="1" w:styleId="122">
    <w:name w:val="表格居中 字符"/>
    <w:basedOn w:val="85"/>
    <w:link w:val="121"/>
    <w:qFormat/>
    <w:uiPriority w:val="0"/>
    <w:rPr>
      <w:rFonts w:ascii="Times New Roman" w:hAnsi="Times New Roman" w:eastAsia="宋体" w:cs="Times New Roman"/>
      <w:spacing w:val="4"/>
      <w:sz w:val="22"/>
      <w:shd w:val="clear" w:color="auto" w:fill="FFFFFF"/>
      <w:lang w:eastAsia="en-US" w:bidi="en-US"/>
    </w:rPr>
  </w:style>
  <w:style w:type="character" w:customStyle="1" w:styleId="123">
    <w:name w:val="纯文本 字符1"/>
    <w:link w:val="39"/>
    <w:qFormat/>
    <w:uiPriority w:val="0"/>
    <w:rPr>
      <w:rFonts w:ascii="宋体" w:hAnsi="Courier New" w:eastAsia="宋体" w:cs="Times New Roman"/>
      <w:szCs w:val="20"/>
    </w:rPr>
  </w:style>
  <w:style w:type="character" w:customStyle="1" w:styleId="124">
    <w:name w:val="纯文本 字符"/>
    <w:basedOn w:val="85"/>
    <w:qFormat/>
    <w:uiPriority w:val="0"/>
    <w:rPr>
      <w:rFonts w:hAnsi="Courier New" w:cs="Courier New" w:asciiTheme="minorEastAsia"/>
      <w:sz w:val="24"/>
      <w:szCs w:val="24"/>
    </w:rPr>
  </w:style>
  <w:style w:type="paragraph" w:styleId="125">
    <w:name w:val="List Paragraph"/>
    <w:basedOn w:val="1"/>
    <w:link w:val="132"/>
    <w:qFormat/>
    <w:uiPriority w:val="34"/>
    <w:pPr>
      <w:ind w:firstLine="420"/>
    </w:pPr>
  </w:style>
  <w:style w:type="character" w:customStyle="1" w:styleId="126">
    <w:name w:val="标题 3 Char"/>
    <w:qFormat/>
    <w:uiPriority w:val="0"/>
    <w:rPr>
      <w:i/>
      <w:iCs/>
      <w:smallCaps/>
      <w:spacing w:val="5"/>
      <w:sz w:val="26"/>
      <w:szCs w:val="26"/>
    </w:rPr>
  </w:style>
  <w:style w:type="paragraph" w:customStyle="1" w:styleId="127">
    <w:name w:val="·"/>
    <w:next w:val="1"/>
    <w:link w:val="129"/>
    <w:qFormat/>
    <w:uiPriority w:val="0"/>
    <w:pPr>
      <w:numPr>
        <w:ilvl w:val="0"/>
        <w:numId w:val="13"/>
      </w:numPr>
      <w:spacing w:line="360" w:lineRule="auto"/>
    </w:pPr>
    <w:rPr>
      <w:rFonts w:ascii="Times New Roman" w:hAnsi="Times New Roman" w:eastAsia="宋体" w:cs="Times New Roman"/>
      <w:kern w:val="2"/>
      <w:sz w:val="24"/>
      <w:szCs w:val="24"/>
      <w:lang w:val="en-US" w:eastAsia="zh-CN" w:bidi="ar-SA"/>
    </w:rPr>
  </w:style>
  <w:style w:type="paragraph" w:customStyle="1" w:styleId="128">
    <w:name w:val="星"/>
    <w:basedOn w:val="1"/>
    <w:link w:val="130"/>
    <w:qFormat/>
    <w:uiPriority w:val="0"/>
    <w:pPr>
      <w:numPr>
        <w:ilvl w:val="0"/>
        <w:numId w:val="14"/>
      </w:numPr>
      <w:ind w:firstLine="0" w:firstLineChars="0"/>
    </w:pPr>
  </w:style>
  <w:style w:type="character" w:customStyle="1" w:styleId="129">
    <w:name w:val="· 字符"/>
    <w:basedOn w:val="85"/>
    <w:link w:val="127"/>
    <w:qFormat/>
    <w:uiPriority w:val="0"/>
    <w:rPr>
      <w:rFonts w:ascii="Times New Roman" w:hAnsi="Times New Roman" w:eastAsia="宋体" w:cs="Times New Roman"/>
      <w:kern w:val="2"/>
      <w:sz w:val="24"/>
      <w:szCs w:val="24"/>
    </w:rPr>
  </w:style>
  <w:style w:type="character" w:customStyle="1" w:styleId="130">
    <w:name w:val="星 字符"/>
    <w:basedOn w:val="85"/>
    <w:link w:val="128"/>
    <w:qFormat/>
    <w:uiPriority w:val="0"/>
    <w:rPr>
      <w:rFonts w:ascii="Times New Roman" w:hAnsi="Times New Roman" w:eastAsia="楷体" w:cs="Times New Roman"/>
      <w:kern w:val="2"/>
      <w:sz w:val="32"/>
      <w:szCs w:val="24"/>
    </w:rPr>
  </w:style>
  <w:style w:type="paragraph" w:customStyle="1" w:styleId="131">
    <w:name w:val="样式 标题 3h3H3level_3PIM 3Level 3 HeadHeading 3 - oldsect1.2..."/>
    <w:basedOn w:val="1"/>
    <w:qFormat/>
    <w:uiPriority w:val="0"/>
    <w:pPr>
      <w:numPr>
        <w:ilvl w:val="2"/>
        <w:numId w:val="15"/>
      </w:numPr>
      <w:tabs>
        <w:tab w:val="left" w:pos="851"/>
      </w:tabs>
      <w:ind w:firstLine="0" w:firstLineChars="0"/>
    </w:pPr>
    <w:rPr>
      <w:sz w:val="21"/>
      <w:szCs w:val="20"/>
    </w:rPr>
  </w:style>
  <w:style w:type="character" w:customStyle="1" w:styleId="132">
    <w:name w:val="列出段落 字符"/>
    <w:link w:val="125"/>
    <w:qFormat/>
    <w:uiPriority w:val="34"/>
    <w:rPr>
      <w:rFonts w:ascii="Times New Roman" w:hAnsi="Times New Roman" w:eastAsia="宋体" w:cs="Times New Roman"/>
      <w:sz w:val="24"/>
      <w:szCs w:val="24"/>
    </w:rPr>
  </w:style>
  <w:style w:type="paragraph" w:customStyle="1" w:styleId="133">
    <w:name w:val="样式1"/>
    <w:basedOn w:val="1"/>
    <w:qFormat/>
    <w:uiPriority w:val="0"/>
    <w:pPr>
      <w:numPr>
        <w:ilvl w:val="5"/>
        <w:numId w:val="16"/>
      </w:numPr>
      <w:ind w:firstLineChars="0"/>
    </w:pPr>
    <w:rPr>
      <w:rFonts w:ascii="仿宋" w:hAnsi="仿宋" w:eastAsia="仿宋"/>
      <w:bCs/>
      <w:kern w:val="0"/>
      <w:sz w:val="28"/>
      <w:szCs w:val="28"/>
      <w:lang w:val="zh-CN"/>
    </w:rPr>
  </w:style>
  <w:style w:type="character" w:customStyle="1" w:styleId="134">
    <w:name w:val="正文缩进 字符"/>
    <w:link w:val="19"/>
    <w:qFormat/>
    <w:uiPriority w:val="0"/>
    <w:rPr>
      <w:rFonts w:ascii="Times New Roman" w:hAnsi="Times New Roman" w:eastAsia="宋体" w:cs="Times New Roman"/>
      <w:szCs w:val="20"/>
    </w:rPr>
  </w:style>
  <w:style w:type="character" w:customStyle="1" w:styleId="135">
    <w:name w:val="纯文本 Char"/>
    <w:basedOn w:val="85"/>
    <w:semiHidden/>
    <w:qFormat/>
    <w:uiPriority w:val="99"/>
    <w:rPr>
      <w:rFonts w:ascii="宋体" w:hAnsi="Courier New" w:eastAsia="宋体" w:cs="Courier New"/>
      <w:szCs w:val="21"/>
    </w:rPr>
  </w:style>
  <w:style w:type="character" w:customStyle="1" w:styleId="136">
    <w:name w:val="正文文本 2 字符"/>
    <w:basedOn w:val="85"/>
    <w:link w:val="65"/>
    <w:qFormat/>
    <w:uiPriority w:val="0"/>
    <w:rPr>
      <w:rFonts w:ascii="Times New Roman" w:hAnsi="Times New Roman" w:eastAsia="宋体" w:cs="Times New Roman"/>
      <w:szCs w:val="24"/>
    </w:rPr>
  </w:style>
  <w:style w:type="paragraph" w:customStyle="1" w:styleId="137">
    <w:name w:val="正文段"/>
    <w:basedOn w:val="1"/>
    <w:qFormat/>
    <w:uiPriority w:val="0"/>
    <w:pPr>
      <w:widowControl/>
      <w:snapToGrid w:val="0"/>
      <w:spacing w:after="156" w:afterLines="50" w:line="240" w:lineRule="auto"/>
    </w:pPr>
    <w:rPr>
      <w:kern w:val="0"/>
      <w:szCs w:val="20"/>
    </w:rPr>
  </w:style>
  <w:style w:type="character" w:customStyle="1" w:styleId="138">
    <w:name w:val="p0 Char"/>
    <w:link w:val="139"/>
    <w:qFormat/>
    <w:uiPriority w:val="0"/>
    <w:rPr>
      <w:rFonts w:eastAsia="宋体"/>
      <w:szCs w:val="21"/>
    </w:rPr>
  </w:style>
  <w:style w:type="paragraph" w:customStyle="1" w:styleId="139">
    <w:name w:val="p0"/>
    <w:basedOn w:val="1"/>
    <w:link w:val="138"/>
    <w:qFormat/>
    <w:uiPriority w:val="0"/>
    <w:pPr>
      <w:widowControl/>
      <w:spacing w:line="240" w:lineRule="auto"/>
      <w:ind w:firstLine="0" w:firstLineChars="0"/>
    </w:pPr>
    <w:rPr>
      <w:rFonts w:asciiTheme="minorHAnsi" w:hAnsiTheme="minorHAnsi" w:cstheme="minorBidi"/>
      <w:sz w:val="21"/>
      <w:szCs w:val="21"/>
    </w:rPr>
  </w:style>
  <w:style w:type="paragraph" w:customStyle="1" w:styleId="140">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table" w:customStyle="1" w:styleId="141">
    <w:name w:val="网格型1"/>
    <w:basedOn w:val="7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正文文本 字符"/>
    <w:basedOn w:val="85"/>
    <w:link w:val="29"/>
    <w:qFormat/>
    <w:uiPriority w:val="0"/>
    <w:rPr>
      <w:rFonts w:ascii="Times New Roman" w:hAnsi="Times New Roman" w:eastAsia="宋体" w:cs="Times New Roman"/>
      <w:szCs w:val="24"/>
    </w:rPr>
  </w:style>
  <w:style w:type="paragraph" w:customStyle="1" w:styleId="143">
    <w:name w:val="Char"/>
    <w:basedOn w:val="1"/>
    <w:semiHidden/>
    <w:qFormat/>
    <w:uiPriority w:val="0"/>
    <w:pPr>
      <w:spacing w:line="240" w:lineRule="atLeast"/>
      <w:ind w:left="420" w:firstLine="420" w:firstLineChars="0"/>
    </w:pPr>
    <w:rPr>
      <w:kern w:val="0"/>
      <w:sz w:val="21"/>
      <w:szCs w:val="21"/>
    </w:rPr>
  </w:style>
  <w:style w:type="paragraph" w:customStyle="1" w:styleId="144">
    <w:name w:val="Char Char Char Char Char Char Char Char Char Char"/>
    <w:basedOn w:val="1"/>
    <w:qFormat/>
    <w:uiPriority w:val="0"/>
    <w:pPr>
      <w:spacing w:line="240" w:lineRule="auto"/>
      <w:ind w:firstLine="0" w:firstLineChars="0"/>
    </w:pPr>
    <w:rPr>
      <w:rFonts w:ascii="Tahoma" w:hAnsi="Tahoma"/>
      <w:szCs w:val="20"/>
    </w:rPr>
  </w:style>
  <w:style w:type="character" w:customStyle="1" w:styleId="145">
    <w:name w:val="日期 字符"/>
    <w:basedOn w:val="85"/>
    <w:link w:val="43"/>
    <w:qFormat/>
    <w:uiPriority w:val="0"/>
    <w:rPr>
      <w:rFonts w:ascii="Times New Roman" w:hAnsi="Times New Roman" w:eastAsia="宋体" w:cs="Times New Roman"/>
      <w:sz w:val="28"/>
      <w:szCs w:val="20"/>
    </w:rPr>
  </w:style>
  <w:style w:type="paragraph" w:customStyle="1" w:styleId="146">
    <w:name w:val="样式3"/>
    <w:basedOn w:val="39"/>
    <w:link w:val="288"/>
    <w:qFormat/>
    <w:uiPriority w:val="0"/>
    <w:pPr>
      <w:widowControl w:val="0"/>
      <w:spacing w:after="0" w:line="0" w:lineRule="atLeast"/>
      <w:jc w:val="both"/>
      <w:outlineLvl w:val="0"/>
    </w:pPr>
    <w:rPr>
      <w:sz w:val="28"/>
    </w:rPr>
  </w:style>
  <w:style w:type="paragraph" w:customStyle="1" w:styleId="147">
    <w:name w:val="标3"/>
    <w:basedOn w:val="1"/>
    <w:qFormat/>
    <w:uiPriority w:val="0"/>
    <w:pPr>
      <w:tabs>
        <w:tab w:val="left" w:pos="425"/>
      </w:tabs>
      <w:adjustRightInd w:val="0"/>
      <w:snapToGrid w:val="0"/>
      <w:spacing w:before="50" w:line="240" w:lineRule="auto"/>
      <w:ind w:left="425" w:hanging="425" w:firstLineChars="0"/>
      <w:outlineLvl w:val="2"/>
    </w:pPr>
    <w:rPr>
      <w:rFonts w:ascii="Arial Narrow" w:hAnsi="Arial Narrow" w:eastAsia="仿宋_GB2312"/>
      <w:sz w:val="28"/>
      <w:szCs w:val="20"/>
    </w:rPr>
  </w:style>
  <w:style w:type="paragraph" w:customStyle="1" w:styleId="148">
    <w:name w:val="Char Char Char Char Char Char Char"/>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149">
    <w:name w:val="列出段落1"/>
    <w:basedOn w:val="1"/>
    <w:qFormat/>
    <w:uiPriority w:val="0"/>
    <w:pPr>
      <w:spacing w:line="240" w:lineRule="auto"/>
      <w:ind w:firstLine="420"/>
    </w:pPr>
    <w:rPr>
      <w:sz w:val="21"/>
    </w:rPr>
  </w:style>
  <w:style w:type="paragraph" w:customStyle="1" w:styleId="150">
    <w:name w:val="默认段落字体 Para Char"/>
    <w:basedOn w:val="1"/>
    <w:qFormat/>
    <w:uiPriority w:val="0"/>
    <w:pPr>
      <w:spacing w:line="240" w:lineRule="auto"/>
      <w:ind w:firstLine="0" w:firstLineChars="0"/>
    </w:pPr>
    <w:rPr>
      <w:sz w:val="30"/>
    </w:rPr>
  </w:style>
  <w:style w:type="character" w:customStyle="1" w:styleId="151">
    <w:name w:val="正文文本缩进 字符"/>
    <w:basedOn w:val="85"/>
    <w:link w:val="30"/>
    <w:qFormat/>
    <w:uiPriority w:val="0"/>
    <w:rPr>
      <w:rFonts w:ascii="Times New Roman" w:hAnsi="Times New Roman" w:eastAsia="宋体" w:cs="Times New Roman"/>
      <w:szCs w:val="24"/>
    </w:rPr>
  </w:style>
  <w:style w:type="character" w:customStyle="1" w:styleId="152">
    <w:name w:val="正文文本缩进 2 字符"/>
    <w:basedOn w:val="85"/>
    <w:link w:val="44"/>
    <w:qFormat/>
    <w:uiPriority w:val="0"/>
    <w:rPr>
      <w:rFonts w:ascii="Times New Roman" w:hAnsi="Times New Roman" w:eastAsia="宋体" w:cs="Times New Roman"/>
      <w:szCs w:val="24"/>
    </w:rPr>
  </w:style>
  <w:style w:type="paragraph" w:customStyle="1" w:styleId="153">
    <w:name w:val="1.1.1.1"/>
    <w:basedOn w:val="1"/>
    <w:qFormat/>
    <w:uiPriority w:val="0"/>
    <w:pPr>
      <w:tabs>
        <w:tab w:val="left" w:pos="26875"/>
      </w:tabs>
      <w:autoSpaceDE w:val="0"/>
      <w:autoSpaceDN w:val="0"/>
      <w:adjustRightInd w:val="0"/>
      <w:spacing w:before="60" w:after="60" w:line="360" w:lineRule="atLeast"/>
      <w:ind w:left="1134" w:hanging="1134" w:firstLineChars="0"/>
    </w:pPr>
    <w:rPr>
      <w:rFonts w:ascii="宋体"/>
      <w:kern w:val="0"/>
      <w:szCs w:val="20"/>
    </w:rPr>
  </w:style>
  <w:style w:type="paragraph" w:styleId="154">
    <w:name w:val="No Spacing"/>
    <w:basedOn w:val="1"/>
    <w:link w:val="274"/>
    <w:qFormat/>
    <w:uiPriority w:val="1"/>
    <w:pPr>
      <w:spacing w:line="240" w:lineRule="auto"/>
      <w:ind w:firstLine="0" w:firstLineChars="0"/>
      <w:jc w:val="left"/>
    </w:pPr>
    <w:rPr>
      <w:rFonts w:eastAsia="DFKai-SB"/>
      <w:szCs w:val="32"/>
      <w:lang w:eastAsia="zh-TW"/>
    </w:rPr>
  </w:style>
  <w:style w:type="paragraph" w:customStyle="1" w:styleId="155">
    <w:name w:val="Char Char Char Char"/>
    <w:basedOn w:val="1"/>
    <w:qFormat/>
    <w:uiPriority w:val="0"/>
    <w:pPr>
      <w:spacing w:line="240" w:lineRule="auto"/>
      <w:ind w:firstLine="0" w:firstLineChars="0"/>
    </w:pPr>
    <w:rPr>
      <w:rFonts w:ascii="Tahoma" w:hAnsi="Tahoma" w:cs="Tahoma"/>
    </w:rPr>
  </w:style>
  <w:style w:type="paragraph" w:customStyle="1" w:styleId="156">
    <w:name w:val="Default Paragraph Font Para Char"/>
    <w:basedOn w:val="1"/>
    <w:qFormat/>
    <w:uiPriority w:val="0"/>
    <w:pPr>
      <w:widowControl/>
      <w:spacing w:after="160" w:line="240" w:lineRule="exact"/>
      <w:ind w:firstLine="0" w:firstLineChars="0"/>
      <w:jc w:val="left"/>
    </w:pPr>
    <w:rPr>
      <w:sz w:val="21"/>
      <w:szCs w:val="20"/>
    </w:rPr>
  </w:style>
  <w:style w:type="character" w:customStyle="1" w:styleId="157">
    <w:name w:val="标题 字符"/>
    <w:link w:val="73"/>
    <w:qFormat/>
    <w:uiPriority w:val="10"/>
    <w:rPr>
      <w:rFonts w:ascii="宋体" w:hAnsi="Courier New" w:eastAsia="宋体"/>
    </w:rPr>
  </w:style>
  <w:style w:type="paragraph" w:customStyle="1" w:styleId="158">
    <w:name w:val="Char1"/>
    <w:basedOn w:val="1"/>
    <w:qFormat/>
    <w:uiPriority w:val="0"/>
    <w:pPr>
      <w:spacing w:line="240" w:lineRule="auto"/>
      <w:ind w:firstLine="0" w:firstLineChars="0"/>
    </w:pPr>
    <w:rPr>
      <w:rFonts w:ascii="Tahoma" w:hAnsi="Tahoma"/>
      <w:szCs w:val="20"/>
    </w:rPr>
  </w:style>
  <w:style w:type="character" w:customStyle="1" w:styleId="159">
    <w:name w:val="正文首行缩进 字符"/>
    <w:basedOn w:val="142"/>
    <w:link w:val="75"/>
    <w:qFormat/>
    <w:uiPriority w:val="0"/>
    <w:rPr>
      <w:rFonts w:ascii="Times New Roman" w:hAnsi="Times New Roman" w:eastAsia="宋体" w:cs="Times New Roman"/>
      <w:szCs w:val="24"/>
    </w:rPr>
  </w:style>
  <w:style w:type="paragraph" w:customStyle="1" w:styleId="160">
    <w:name w:val="Char Char1 Char Char Char"/>
    <w:basedOn w:val="23"/>
    <w:qFormat/>
    <w:uiPriority w:val="0"/>
    <w:rPr>
      <w:rFonts w:ascii="Tahoma" w:hAnsi="Tahoma"/>
      <w:sz w:val="24"/>
    </w:rPr>
  </w:style>
  <w:style w:type="character" w:customStyle="1" w:styleId="161">
    <w:name w:val="文档结构图 字符"/>
    <w:basedOn w:val="85"/>
    <w:link w:val="23"/>
    <w:qFormat/>
    <w:uiPriority w:val="99"/>
    <w:rPr>
      <w:rFonts w:ascii="Times New Roman" w:hAnsi="Times New Roman" w:eastAsia="宋体" w:cs="Times New Roman"/>
      <w:szCs w:val="24"/>
      <w:shd w:val="clear" w:color="auto" w:fill="000080"/>
    </w:rPr>
  </w:style>
  <w:style w:type="character" w:customStyle="1" w:styleId="162">
    <w:name w:val="正文首行缩进 2 字符"/>
    <w:basedOn w:val="151"/>
    <w:link w:val="76"/>
    <w:qFormat/>
    <w:uiPriority w:val="0"/>
    <w:rPr>
      <w:rFonts w:ascii="Times New Roman" w:hAnsi="Times New Roman" w:eastAsia="宋体" w:cs="Times New Roman"/>
      <w:szCs w:val="20"/>
    </w:rPr>
  </w:style>
  <w:style w:type="paragraph" w:customStyle="1" w:styleId="163">
    <w:name w:val="Char Char Char Char1"/>
    <w:basedOn w:val="1"/>
    <w:qFormat/>
    <w:uiPriority w:val="0"/>
    <w:pPr>
      <w:spacing w:line="240" w:lineRule="auto"/>
      <w:ind w:firstLine="0" w:firstLineChars="0"/>
    </w:pPr>
    <w:rPr>
      <w:rFonts w:ascii="Tahoma" w:hAnsi="Tahoma"/>
      <w:szCs w:val="20"/>
    </w:rPr>
  </w:style>
  <w:style w:type="character" w:customStyle="1" w:styleId="164">
    <w:name w:val="批注文字 Char"/>
    <w:basedOn w:val="85"/>
    <w:qFormat/>
    <w:uiPriority w:val="0"/>
    <w:rPr>
      <w:rFonts w:ascii="Times New Roman" w:hAnsi="Times New Roman" w:eastAsia="宋体"/>
      <w:sz w:val="24"/>
    </w:rPr>
  </w:style>
  <w:style w:type="character" w:customStyle="1" w:styleId="165">
    <w:name w:val="headline-content2"/>
    <w:basedOn w:val="85"/>
    <w:qFormat/>
    <w:uiPriority w:val="0"/>
  </w:style>
  <w:style w:type="character" w:customStyle="1" w:styleId="166">
    <w:name w:val="信息标题 字符"/>
    <w:link w:val="68"/>
    <w:qFormat/>
    <w:uiPriority w:val="0"/>
    <w:rPr>
      <w:rFonts w:ascii="宋体" w:hAnsi="Courier New" w:eastAsia="宋体"/>
      <w:shd w:val="pct20" w:color="auto" w:fill="auto"/>
    </w:rPr>
  </w:style>
  <w:style w:type="paragraph" w:customStyle="1" w:styleId="167">
    <w:name w:val="Char Char1 Char Char Char Char Char Char Char"/>
    <w:basedOn w:val="1"/>
    <w:qFormat/>
    <w:uiPriority w:val="0"/>
    <w:pPr>
      <w:spacing w:line="240" w:lineRule="auto"/>
      <w:ind w:firstLine="0" w:firstLineChars="0"/>
    </w:pPr>
    <w:rPr>
      <w:sz w:val="21"/>
      <w:szCs w:val="20"/>
    </w:rPr>
  </w:style>
  <w:style w:type="paragraph" w:customStyle="1" w:styleId="168">
    <w:name w:val="xl2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69">
    <w:name w:val="默认段落字体 Para Char Char Char Char Char Char Char Char Char Char"/>
    <w:basedOn w:val="1"/>
    <w:qFormat/>
    <w:uiPriority w:val="0"/>
    <w:pPr>
      <w:adjustRightInd w:val="0"/>
      <w:ind w:firstLine="0" w:firstLineChars="0"/>
    </w:pPr>
    <w:rPr>
      <w:kern w:val="0"/>
      <w:szCs w:val="20"/>
    </w:rPr>
  </w:style>
  <w:style w:type="paragraph" w:customStyle="1" w:styleId="170">
    <w:name w:val="Body 1"/>
    <w:qFormat/>
    <w:uiPriority w:val="0"/>
    <w:pPr>
      <w:widowControl w:val="0"/>
      <w:jc w:val="both"/>
      <w:outlineLvl w:val="0"/>
    </w:pPr>
    <w:rPr>
      <w:rFonts w:ascii="Times New Roman" w:hAnsi="Times New Roman" w:eastAsia="ヒラギノ角ゴ Pro W3" w:cs="Times New Roman"/>
      <w:color w:val="000000"/>
      <w:kern w:val="2"/>
      <w:sz w:val="21"/>
      <w:lang w:val="en-US" w:eastAsia="zh-CN" w:bidi="ar-SA"/>
    </w:rPr>
  </w:style>
  <w:style w:type="paragraph" w:customStyle="1" w:styleId="171">
    <w:name w:val="标准"/>
    <w:basedOn w:val="1"/>
    <w:qFormat/>
    <w:uiPriority w:val="0"/>
    <w:rPr>
      <w:rFonts w:cs="宋体"/>
      <w:sz w:val="21"/>
      <w:szCs w:val="20"/>
    </w:rPr>
  </w:style>
  <w:style w:type="paragraph" w:customStyle="1" w:styleId="172">
    <w:name w:val="1"/>
    <w:basedOn w:val="1"/>
    <w:qFormat/>
    <w:uiPriority w:val="0"/>
    <w:pPr>
      <w:spacing w:line="240" w:lineRule="auto"/>
      <w:ind w:firstLine="0" w:firstLineChars="0"/>
    </w:pPr>
    <w:rPr>
      <w:rFonts w:ascii="Tahoma" w:hAnsi="Tahoma"/>
      <w:szCs w:val="20"/>
    </w:rPr>
  </w:style>
  <w:style w:type="character" w:customStyle="1" w:styleId="173">
    <w:name w:val="Char Char Char"/>
    <w:qFormat/>
    <w:uiPriority w:val="0"/>
    <w:rPr>
      <w:rFonts w:eastAsia="宋体"/>
      <w:kern w:val="2"/>
      <w:sz w:val="21"/>
      <w:lang w:val="en-US" w:eastAsia="zh-CN" w:bidi="ar-SA"/>
    </w:rPr>
  </w:style>
  <w:style w:type="paragraph" w:customStyle="1" w:styleId="174">
    <w:name w:val="xl54"/>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left"/>
      <w:textAlignment w:val="top"/>
    </w:pPr>
    <w:rPr>
      <w:rFonts w:ascii="宋体" w:hAnsi="宋体"/>
      <w:color w:val="000000"/>
      <w:kern w:val="0"/>
      <w:sz w:val="21"/>
      <w:szCs w:val="21"/>
    </w:rPr>
  </w:style>
  <w:style w:type="character" w:customStyle="1" w:styleId="175">
    <w:name w:val="main"/>
    <w:qFormat/>
    <w:uiPriority w:val="0"/>
  </w:style>
  <w:style w:type="paragraph" w:customStyle="1" w:styleId="176">
    <w:name w:val="Char2 Char Char Char Char Char Char Char Char Char Char Char Char"/>
    <w:basedOn w:val="1"/>
    <w:qFormat/>
    <w:uiPriority w:val="0"/>
    <w:rPr>
      <w:sz w:val="21"/>
    </w:rPr>
  </w:style>
  <w:style w:type="paragraph" w:customStyle="1" w:styleId="177">
    <w:name w:val="正文空2格  1."/>
    <w:basedOn w:val="1"/>
    <w:qFormat/>
    <w:uiPriority w:val="0"/>
    <w:pPr>
      <w:adjustRightInd w:val="0"/>
      <w:textAlignment w:val="baseline"/>
    </w:pPr>
    <w:rPr>
      <w:rFonts w:ascii="宋体" w:eastAsia="仿宋" w:cs="宋体"/>
      <w:kern w:val="0"/>
      <w:sz w:val="28"/>
      <w:szCs w:val="20"/>
    </w:rPr>
  </w:style>
  <w:style w:type="paragraph" w:customStyle="1" w:styleId="178">
    <w:name w:val="正文斜下划线"/>
    <w:basedOn w:val="177"/>
    <w:qFormat/>
    <w:uiPriority w:val="0"/>
    <w:pPr>
      <w:ind w:firstLine="560"/>
    </w:pPr>
    <w:rPr>
      <w:i/>
      <w:iCs/>
      <w:u w:val="single"/>
    </w:rPr>
  </w:style>
  <w:style w:type="character" w:customStyle="1" w:styleId="179">
    <w:name w:val="apple-converted-space"/>
    <w:basedOn w:val="85"/>
    <w:qFormat/>
    <w:uiPriority w:val="0"/>
  </w:style>
  <w:style w:type="paragraph" w:customStyle="1" w:styleId="180">
    <w:name w:val="msonormalcxspmiddle"/>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181">
    <w:name w:val="正文文本缩进 3 字符"/>
    <w:basedOn w:val="85"/>
    <w:link w:val="61"/>
    <w:qFormat/>
    <w:uiPriority w:val="0"/>
    <w:rPr>
      <w:rFonts w:ascii="Arial" w:hAnsi="Arial" w:eastAsia="仿宋_GB2312" w:cs="Arial"/>
      <w:color w:val="FFFF00"/>
      <w:sz w:val="32"/>
      <w:szCs w:val="32"/>
    </w:rPr>
  </w:style>
  <w:style w:type="character" w:customStyle="1" w:styleId="182">
    <w:name w:val="正文文本 3 字符"/>
    <w:basedOn w:val="85"/>
    <w:link w:val="26"/>
    <w:qFormat/>
    <w:uiPriority w:val="0"/>
    <w:rPr>
      <w:rFonts w:ascii="仿宋_GB2312" w:hAnsi="Arial" w:eastAsia="仿宋_GB2312" w:cs="Times New Roman"/>
      <w:sz w:val="32"/>
      <w:szCs w:val="32"/>
    </w:rPr>
  </w:style>
  <w:style w:type="paragraph" w:customStyle="1" w:styleId="183">
    <w:name w:val="普通 (Web)"/>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184">
    <w:name w:val="标题1"/>
    <w:basedOn w:val="1"/>
    <w:next w:val="1"/>
    <w:qFormat/>
    <w:uiPriority w:val="39"/>
    <w:pPr>
      <w:tabs>
        <w:tab w:val="left" w:pos="9193"/>
        <w:tab w:val="left" w:pos="9827"/>
      </w:tabs>
      <w:autoSpaceDE w:val="0"/>
      <w:autoSpaceDN w:val="0"/>
      <w:snapToGrid w:val="0"/>
      <w:spacing w:line="700" w:lineRule="atLeast"/>
      <w:ind w:firstLine="0" w:firstLineChars="0"/>
      <w:jc w:val="center"/>
    </w:pPr>
    <w:rPr>
      <w:rFonts w:ascii="方正小标宋_GBK" w:eastAsia="方正小标宋_GBK"/>
      <w:snapToGrid w:val="0"/>
      <w:kern w:val="0"/>
      <w:sz w:val="44"/>
      <w:szCs w:val="20"/>
    </w:rPr>
  </w:style>
  <w:style w:type="paragraph" w:customStyle="1" w:styleId="185">
    <w:name w:val="附录1"/>
    <w:qFormat/>
    <w:uiPriority w:val="0"/>
    <w:pPr>
      <w:numPr>
        <w:ilvl w:val="0"/>
        <w:numId w:val="17"/>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186">
    <w:name w:val="普通正文"/>
    <w:basedOn w:val="1"/>
    <w:qFormat/>
    <w:uiPriority w:val="0"/>
    <w:pPr>
      <w:adjustRightInd w:val="0"/>
      <w:spacing w:before="120" w:after="120"/>
      <w:ind w:firstLine="0" w:firstLineChars="0"/>
      <w:jc w:val="left"/>
      <w:textAlignment w:val="baseline"/>
    </w:pPr>
    <w:rPr>
      <w:rFonts w:ascii="Arial" w:hAnsi="Arial"/>
      <w:kern w:val="0"/>
    </w:rPr>
  </w:style>
  <w:style w:type="paragraph" w:customStyle="1" w:styleId="187">
    <w:name w:val="Body Text(ch)"/>
    <w:basedOn w:val="1"/>
    <w:next w:val="29"/>
    <w:qFormat/>
    <w:uiPriority w:val="0"/>
    <w:pPr>
      <w:spacing w:after="120" w:line="240" w:lineRule="auto"/>
      <w:ind w:firstLine="0" w:firstLineChars="0"/>
    </w:pPr>
    <w:rPr>
      <w:rFonts w:ascii="宋体" w:hAnsi="Arial"/>
      <w:bCs/>
      <w:iCs/>
      <w:sz w:val="21"/>
    </w:rPr>
  </w:style>
  <w:style w:type="paragraph" w:customStyle="1" w:styleId="188">
    <w:name w:val="图标"/>
    <w:basedOn w:val="1"/>
    <w:next w:val="1"/>
    <w:qFormat/>
    <w:uiPriority w:val="0"/>
    <w:pPr>
      <w:numPr>
        <w:ilvl w:val="0"/>
        <w:numId w:val="18"/>
      </w:numPr>
      <w:tabs>
        <w:tab w:val="left" w:pos="567"/>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character" w:customStyle="1" w:styleId="189">
    <w:name w:val="14p"/>
    <w:qFormat/>
    <w:uiPriority w:val="0"/>
    <w:rPr>
      <w:rFonts w:ascii="Tahoma" w:hAnsi="Tahoma" w:eastAsia="宋体"/>
      <w:kern w:val="2"/>
      <w:sz w:val="24"/>
      <w:szCs w:val="24"/>
      <w:lang w:val="en-US" w:eastAsia="zh-CN" w:bidi="ar-SA"/>
    </w:rPr>
  </w:style>
  <w:style w:type="paragraph" w:customStyle="1" w:styleId="190">
    <w:name w:val="正文格式"/>
    <w:basedOn w:val="1"/>
    <w:qFormat/>
    <w:uiPriority w:val="0"/>
    <w:pPr>
      <w:widowControl/>
      <w:adjustRightInd w:val="0"/>
      <w:snapToGrid w:val="0"/>
      <w:spacing w:line="360" w:lineRule="atLeast"/>
      <w:ind w:firstLine="482" w:firstLineChars="0"/>
      <w:textAlignment w:val="baseline"/>
    </w:pPr>
    <w:rPr>
      <w:kern w:val="0"/>
      <w:szCs w:val="20"/>
    </w:rPr>
  </w:style>
  <w:style w:type="paragraph" w:customStyle="1" w:styleId="191">
    <w:name w:val="样式 标题 3一1h33rd levelBold HeadbhH3level_3PIM 3Level 3 H...1"/>
    <w:basedOn w:val="4"/>
    <w:link w:val="192"/>
    <w:qFormat/>
    <w:uiPriority w:val="0"/>
    <w:pPr>
      <w:keepNext w:val="0"/>
      <w:widowControl w:val="0"/>
      <w:numPr>
        <w:numId w:val="0"/>
      </w:numPr>
      <w:spacing w:line="480" w:lineRule="auto"/>
      <w:ind w:left="1996" w:hanging="720"/>
      <w:jc w:val="both"/>
    </w:pPr>
    <w:rPr>
      <w:rFonts w:ascii="宋体" w:hAnsi="宋体"/>
      <w:b w:val="0"/>
      <w:sz w:val="24"/>
      <w:szCs w:val="24"/>
      <w:lang w:val="zh-CN"/>
    </w:rPr>
  </w:style>
  <w:style w:type="character" w:customStyle="1" w:styleId="192">
    <w:name w:val="样式 标题 3一1h33rd levelBold HeadbhH3level_3PIM 3Level 3 H...1 Char"/>
    <w:link w:val="191"/>
    <w:qFormat/>
    <w:uiPriority w:val="0"/>
    <w:rPr>
      <w:rFonts w:ascii="宋体" w:hAnsi="宋体" w:eastAsia="宋体" w:cs="Times New Roman"/>
      <w:bCs/>
      <w:sz w:val="24"/>
      <w:szCs w:val="24"/>
      <w:lang w:val="zh-CN" w:eastAsia="zh-CN"/>
    </w:rPr>
  </w:style>
  <w:style w:type="paragraph" w:customStyle="1" w:styleId="193">
    <w:name w:val="样式 标题 3一1h33rd levelBold HeadbhH3level_3PIM 3Level 3 H..."/>
    <w:basedOn w:val="4"/>
    <w:link w:val="194"/>
    <w:qFormat/>
    <w:uiPriority w:val="0"/>
    <w:pPr>
      <w:keepNext w:val="0"/>
      <w:widowControl w:val="0"/>
      <w:numPr>
        <w:numId w:val="0"/>
      </w:numPr>
      <w:spacing w:beforeLines="200" w:afterLines="200" w:line="240" w:lineRule="auto"/>
      <w:ind w:left="1996" w:firstLine="200" w:firstLineChars="200"/>
    </w:pPr>
    <w:rPr>
      <w:rFonts w:ascii="仿宋_GB2312" w:hAnsi="仿宋_GB2312" w:eastAsia="仿宋_GB2312"/>
      <w:color w:val="333333"/>
      <w:szCs w:val="21"/>
      <w:lang w:val="zh-CN"/>
    </w:rPr>
  </w:style>
  <w:style w:type="character" w:customStyle="1" w:styleId="194">
    <w:name w:val="样式 标题 3一1h33rd levelBold HeadbhH3level_3PIM 3Level 3 H... Char"/>
    <w:link w:val="193"/>
    <w:qFormat/>
    <w:uiPriority w:val="0"/>
    <w:rPr>
      <w:rFonts w:ascii="仿宋_GB2312" w:hAnsi="仿宋_GB2312" w:eastAsia="仿宋_GB2312" w:cs="Times New Roman"/>
      <w:b/>
      <w:bCs/>
      <w:color w:val="333333"/>
      <w:sz w:val="28"/>
      <w:szCs w:val="21"/>
      <w:lang w:val="zh-CN" w:eastAsia="zh-CN"/>
    </w:rPr>
  </w:style>
  <w:style w:type="paragraph" w:customStyle="1" w:styleId="195">
    <w:name w:val="样式 标题 3一1h33rd levelBold HeadbhH3level_3PIM 3Level 3 H...2"/>
    <w:basedOn w:val="4"/>
    <w:qFormat/>
    <w:uiPriority w:val="0"/>
    <w:pPr>
      <w:keepNext w:val="0"/>
      <w:widowControl w:val="0"/>
      <w:numPr>
        <w:numId w:val="0"/>
      </w:numPr>
      <w:adjustRightInd w:val="0"/>
      <w:snapToGrid w:val="0"/>
      <w:spacing w:beforeLines="100" w:afterLines="100" w:line="240" w:lineRule="auto"/>
      <w:ind w:left="1996" w:hanging="720"/>
      <w:jc w:val="both"/>
    </w:pPr>
    <w:rPr>
      <w:rFonts w:ascii="宋体" w:hAnsi="宋体" w:cs="宋体"/>
      <w:sz w:val="24"/>
      <w:szCs w:val="24"/>
      <w:lang w:val="zh-CN"/>
    </w:rPr>
  </w:style>
  <w:style w:type="paragraph" w:customStyle="1" w:styleId="196">
    <w:name w:val="Char11"/>
    <w:basedOn w:val="1"/>
    <w:qFormat/>
    <w:uiPriority w:val="0"/>
    <w:pPr>
      <w:spacing w:line="240" w:lineRule="auto"/>
      <w:ind w:firstLine="0" w:firstLineChars="0"/>
    </w:pPr>
    <w:rPr>
      <w:rFonts w:ascii="Tahoma" w:hAnsi="Tahoma"/>
      <w:szCs w:val="20"/>
    </w:rPr>
  </w:style>
  <w:style w:type="paragraph" w:customStyle="1" w:styleId="197">
    <w:name w:val="样式 正文文本缩进 + 仿宋_GB2312 小四 首行缩进:  0 厘米 行距: 1.5 倍行距"/>
    <w:basedOn w:val="30"/>
    <w:qFormat/>
    <w:uiPriority w:val="0"/>
    <w:pPr>
      <w:spacing w:after="0" w:line="360" w:lineRule="auto"/>
      <w:ind w:left="0" w:leftChars="0"/>
    </w:pPr>
    <w:rPr>
      <w:rFonts w:ascii="仿宋_GB2312" w:hAnsi="Tahoma" w:eastAsia="新宋体"/>
      <w:sz w:val="24"/>
      <w:szCs w:val="20"/>
    </w:rPr>
  </w:style>
  <w:style w:type="paragraph" w:customStyle="1" w:styleId="198">
    <w:name w:val="样式 样式 正文文本缩进 + 仿宋_GB2312 小四 首行缩进:  0 厘米 行距: 1.5 倍行距 + (中文) 仿宋_GB... Char Char"/>
    <w:basedOn w:val="197"/>
    <w:qFormat/>
    <w:uiPriority w:val="0"/>
    <w:pPr>
      <w:ind w:firstLine="480" w:firstLineChars="200"/>
    </w:pPr>
  </w:style>
  <w:style w:type="paragraph" w:customStyle="1" w:styleId="199">
    <w:name w:val="样式 样式 正文文本缩进 + 仿宋_GB2312 小四 首行缩进:  0 厘米 行距: 1.5 倍行距 + (中文) 仿宋_GB..."/>
    <w:basedOn w:val="197"/>
    <w:qFormat/>
    <w:uiPriority w:val="0"/>
    <w:pPr>
      <w:ind w:firstLine="480" w:firstLineChars="200"/>
    </w:pPr>
  </w:style>
  <w:style w:type="paragraph" w:customStyle="1" w:styleId="200">
    <w:name w:val="BOC正文"/>
    <w:basedOn w:val="1"/>
    <w:qFormat/>
    <w:uiPriority w:val="0"/>
    <w:pPr>
      <w:snapToGrid w:val="0"/>
      <w:spacing w:line="360" w:lineRule="atLeast"/>
      <w:ind w:firstLine="720" w:firstLineChars="300"/>
    </w:pPr>
    <w:rPr>
      <w:rFonts w:ascii="宋体" w:hAnsi="宋体"/>
      <w:szCs w:val="20"/>
    </w:rPr>
  </w:style>
  <w:style w:type="character" w:customStyle="1" w:styleId="201">
    <w:name w:val="尾注文本 字符"/>
    <w:basedOn w:val="85"/>
    <w:link w:val="45"/>
    <w:semiHidden/>
    <w:qFormat/>
    <w:uiPriority w:val="0"/>
    <w:rPr>
      <w:rFonts w:ascii="宋体" w:hAnsi="Tahoma" w:eastAsia="宋体" w:cs="宋体"/>
      <w:sz w:val="24"/>
      <w:szCs w:val="24"/>
    </w:rPr>
  </w:style>
  <w:style w:type="paragraph" w:customStyle="1" w:styleId="202">
    <w:name w:val="xl23"/>
    <w:basedOn w:val="1"/>
    <w:qFormat/>
    <w:uiPriority w:val="0"/>
    <w:pPr>
      <w:widowControl/>
      <w:pBdr>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03">
    <w:name w:val="xl27"/>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204">
    <w:name w:val="样式"/>
    <w:basedOn w:val="1"/>
    <w:next w:val="61"/>
    <w:qFormat/>
    <w:uiPriority w:val="0"/>
    <w:pPr>
      <w:spacing w:line="288" w:lineRule="auto"/>
      <w:ind w:firstLine="546" w:firstLineChars="195"/>
    </w:pPr>
    <w:rPr>
      <w:rFonts w:ascii="宋体" w:hAnsi="宋体" w:cs="宋体"/>
      <w:sz w:val="28"/>
      <w:szCs w:val="28"/>
    </w:rPr>
  </w:style>
  <w:style w:type="paragraph" w:customStyle="1" w:styleId="20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06">
    <w:name w:val="xl2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07">
    <w:name w:val="xl2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08">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09">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4">
    <w:name w:val="xl35"/>
    <w:basedOn w:val="1"/>
    <w:qFormat/>
    <w:uiPriority w:val="0"/>
    <w:pPr>
      <w:widowControl/>
      <w:spacing w:before="100" w:beforeAutospacing="1" w:after="100" w:afterAutospacing="1" w:line="240" w:lineRule="auto"/>
      <w:ind w:firstLine="0" w:firstLineChars="0"/>
      <w:jc w:val="right"/>
    </w:pPr>
    <w:rPr>
      <w:rFonts w:ascii="Arial Unicode MS" w:hAnsi="Arial Unicode MS" w:cs="Arial Unicode MS"/>
      <w:kern w:val="0"/>
      <w:sz w:val="20"/>
      <w:szCs w:val="20"/>
    </w:rPr>
  </w:style>
  <w:style w:type="paragraph" w:customStyle="1" w:styleId="215">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8">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9">
    <w:name w:val="xl40"/>
    <w:basedOn w:val="1"/>
    <w:qFormat/>
    <w:uiPriority w:val="0"/>
    <w:pPr>
      <w:widowControl/>
      <w:spacing w:before="100" w:beforeAutospacing="1" w:after="100" w:afterAutospacing="1" w:line="240" w:lineRule="auto"/>
      <w:ind w:firstLine="0" w:firstLineChars="0"/>
      <w:jc w:val="right"/>
      <w:textAlignment w:val="center"/>
    </w:pPr>
    <w:rPr>
      <w:rFonts w:ascii="Arial Unicode MS" w:hAnsi="Arial Unicode MS" w:cs="Arial Unicode MS"/>
      <w:kern w:val="0"/>
      <w:sz w:val="18"/>
      <w:szCs w:val="18"/>
    </w:rPr>
  </w:style>
  <w:style w:type="paragraph" w:customStyle="1" w:styleId="220">
    <w:name w:val="xl41"/>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21">
    <w:name w:val="默认段落字体 Para Char Char Char Char Char Char Char Char Char1 Char Char Char Char Char Char Char"/>
    <w:basedOn w:val="23"/>
    <w:qFormat/>
    <w:uiPriority w:val="0"/>
    <w:rPr>
      <w:rFonts w:ascii="Tahoma" w:hAnsi="Tahoma"/>
      <w:sz w:val="24"/>
    </w:rPr>
  </w:style>
  <w:style w:type="paragraph" w:customStyle="1" w:styleId="222">
    <w:name w:val="我的正文"/>
    <w:basedOn w:val="1"/>
    <w:link w:val="223"/>
    <w:qFormat/>
    <w:uiPriority w:val="0"/>
    <w:pPr>
      <w:widowControl/>
    </w:pPr>
    <w:rPr>
      <w:rFonts w:ascii="Tahoma" w:hAnsi="Tahoma" w:eastAsia="仿宋_GB2312"/>
      <w:sz w:val="28"/>
      <w:szCs w:val="28"/>
    </w:rPr>
  </w:style>
  <w:style w:type="character" w:customStyle="1" w:styleId="223">
    <w:name w:val="我的正文 Char"/>
    <w:link w:val="222"/>
    <w:qFormat/>
    <w:uiPriority w:val="0"/>
    <w:rPr>
      <w:rFonts w:ascii="Tahoma" w:hAnsi="Tahoma" w:eastAsia="仿宋_GB2312" w:cs="Times New Roman"/>
      <w:sz w:val="28"/>
      <w:szCs w:val="28"/>
    </w:rPr>
  </w:style>
  <w:style w:type="paragraph" w:customStyle="1" w:styleId="224">
    <w:name w:val="CM27"/>
    <w:basedOn w:val="1"/>
    <w:next w:val="1"/>
    <w:qFormat/>
    <w:uiPriority w:val="0"/>
    <w:pPr>
      <w:autoSpaceDE w:val="0"/>
      <w:autoSpaceDN w:val="0"/>
      <w:adjustRightInd w:val="0"/>
      <w:spacing w:after="380" w:line="240" w:lineRule="auto"/>
      <w:ind w:firstLine="0" w:firstLineChars="0"/>
      <w:jc w:val="left"/>
    </w:pPr>
    <w:rPr>
      <w:rFonts w:ascii="黑体" w:eastAsia="黑体"/>
      <w:kern w:val="0"/>
    </w:rPr>
  </w:style>
  <w:style w:type="character" w:customStyle="1" w:styleId="225">
    <w:name w:val="defaultfont1"/>
    <w:qFormat/>
    <w:uiPriority w:val="0"/>
    <w:rPr>
      <w:rFonts w:ascii="Tahoma" w:hAnsi="Tahoma" w:eastAsia="宋体"/>
      <w:kern w:val="2"/>
      <w:sz w:val="24"/>
      <w:szCs w:val="24"/>
      <w:lang w:val="en-US" w:eastAsia="zh-CN" w:bidi="ar-SA"/>
    </w:rPr>
  </w:style>
  <w:style w:type="paragraph" w:customStyle="1" w:styleId="226">
    <w:name w:val="defaultfont"/>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227">
    <w:name w:val="Char Char1 Char Char Char Char Char Char Char Char Char Char Char Char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28">
    <w:name w:val="制作人文字"/>
    <w:basedOn w:val="1"/>
    <w:qFormat/>
    <w:uiPriority w:val="0"/>
    <w:pPr>
      <w:ind w:firstLine="0" w:firstLineChars="0"/>
    </w:pPr>
    <w:rPr>
      <w:rFonts w:ascii="宋体" w:hAnsi="宋体"/>
      <w:bCs/>
    </w:rPr>
  </w:style>
  <w:style w:type="paragraph" w:customStyle="1" w:styleId="229">
    <w:name w:val="正文B"/>
    <w:basedOn w:val="1"/>
    <w:qFormat/>
    <w:uiPriority w:val="0"/>
    <w:pPr>
      <w:adjustRightInd w:val="0"/>
      <w:spacing w:line="390" w:lineRule="exact"/>
      <w:ind w:firstLine="601" w:firstLineChars="0"/>
      <w:textAlignment w:val="baseline"/>
    </w:pPr>
    <w:rPr>
      <w:rFonts w:eastAsia="楷体_GB2312"/>
      <w:spacing w:val="8"/>
      <w:kern w:val="0"/>
      <w:sz w:val="28"/>
      <w:szCs w:val="20"/>
    </w:rPr>
  </w:style>
  <w:style w:type="paragraph" w:customStyle="1" w:styleId="230">
    <w:name w:val="Char5"/>
    <w:basedOn w:val="1"/>
    <w:qFormat/>
    <w:uiPriority w:val="0"/>
    <w:pPr>
      <w:tabs>
        <w:tab w:val="left" w:pos="360"/>
      </w:tabs>
      <w:spacing w:line="240" w:lineRule="auto"/>
      <w:ind w:firstLine="0" w:firstLineChars="0"/>
    </w:pPr>
  </w:style>
  <w:style w:type="paragraph" w:customStyle="1" w:styleId="231">
    <w:name w:val="表格文字"/>
    <w:basedOn w:val="1"/>
    <w:qFormat/>
    <w:uiPriority w:val="0"/>
    <w:pPr>
      <w:spacing w:line="240" w:lineRule="auto"/>
      <w:ind w:firstLine="0" w:firstLineChars="0"/>
      <w:jc w:val="left"/>
    </w:pPr>
    <w:rPr>
      <w:sz w:val="21"/>
    </w:rPr>
  </w:style>
  <w:style w:type="paragraph" w:customStyle="1" w:styleId="232">
    <w:name w:val="CM6"/>
    <w:basedOn w:val="1"/>
    <w:next w:val="1"/>
    <w:qFormat/>
    <w:uiPriority w:val="0"/>
    <w:pPr>
      <w:autoSpaceDE w:val="0"/>
      <w:autoSpaceDN w:val="0"/>
      <w:adjustRightInd w:val="0"/>
      <w:spacing w:after="80" w:line="240" w:lineRule="auto"/>
      <w:ind w:firstLine="0" w:firstLineChars="0"/>
      <w:jc w:val="left"/>
    </w:pPr>
    <w:rPr>
      <w:rFonts w:ascii="CMKAI G+ Futura" w:hAnsi="Calibri" w:eastAsia="CMKAI G+ Futura"/>
      <w:kern w:val="0"/>
    </w:rPr>
  </w:style>
  <w:style w:type="paragraph" w:customStyle="1" w:styleId="233">
    <w:name w:val="表格标题"/>
    <w:basedOn w:val="1"/>
    <w:qFormat/>
    <w:uiPriority w:val="0"/>
    <w:pPr>
      <w:adjustRightInd w:val="0"/>
      <w:spacing w:before="120" w:line="400" w:lineRule="exact"/>
      <w:ind w:firstLine="0" w:firstLineChars="0"/>
      <w:jc w:val="center"/>
      <w:textAlignment w:val="baseline"/>
    </w:pPr>
    <w:rPr>
      <w:rFonts w:eastAsia="文鼎CS中宋"/>
      <w:spacing w:val="8"/>
      <w:kern w:val="0"/>
      <w:szCs w:val="20"/>
    </w:rPr>
  </w:style>
  <w:style w:type="paragraph" w:customStyle="1" w:styleId="234">
    <w:name w:val="表头"/>
    <w:basedOn w:val="1"/>
    <w:link w:val="247"/>
    <w:qFormat/>
    <w:uiPriority w:val="0"/>
    <w:pPr>
      <w:adjustRightInd w:val="0"/>
      <w:snapToGrid w:val="0"/>
      <w:spacing w:line="320" w:lineRule="atLeast"/>
      <w:ind w:firstLine="0" w:firstLineChars="0"/>
      <w:jc w:val="center"/>
      <w:textAlignment w:val="baseline"/>
    </w:pPr>
    <w:rPr>
      <w:rFonts w:ascii="Tahoma" w:hAnsi="Tahoma" w:eastAsia="黑体"/>
      <w:spacing w:val="-10"/>
      <w:sz w:val="21"/>
    </w:rPr>
  </w:style>
  <w:style w:type="paragraph" w:customStyle="1" w:styleId="235">
    <w:name w:val="表蕊"/>
    <w:basedOn w:val="1"/>
    <w:link w:val="246"/>
    <w:qFormat/>
    <w:uiPriority w:val="0"/>
    <w:pPr>
      <w:adjustRightInd w:val="0"/>
      <w:spacing w:line="320" w:lineRule="atLeast"/>
      <w:ind w:firstLine="0" w:firstLineChars="0"/>
      <w:jc w:val="left"/>
      <w:textAlignment w:val="baseline"/>
    </w:pPr>
    <w:rPr>
      <w:rFonts w:ascii="Tahoma" w:hAnsi="Tahoma" w:eastAsia="楷体_GB2312"/>
      <w:spacing w:val="-10"/>
      <w:sz w:val="21"/>
    </w:rPr>
  </w:style>
  <w:style w:type="paragraph" w:customStyle="1" w:styleId="236">
    <w:name w:val="行文"/>
    <w:basedOn w:val="1"/>
    <w:qFormat/>
    <w:uiPriority w:val="0"/>
    <w:pPr>
      <w:adjustRightInd w:val="0"/>
      <w:spacing w:line="480" w:lineRule="exact"/>
      <w:ind w:firstLine="624" w:firstLineChars="0"/>
      <w:textAlignment w:val="baseline"/>
    </w:pPr>
    <w:rPr>
      <w:rFonts w:eastAsia="仿宋_GB2312"/>
      <w:spacing w:val="8"/>
      <w:kern w:val="0"/>
      <w:sz w:val="30"/>
      <w:szCs w:val="20"/>
    </w:rPr>
  </w:style>
  <w:style w:type="paragraph" w:customStyle="1" w:styleId="237">
    <w:name w:val="表前文"/>
    <w:basedOn w:val="1"/>
    <w:qFormat/>
    <w:uiPriority w:val="0"/>
    <w:pPr>
      <w:adjustRightInd w:val="0"/>
      <w:spacing w:after="120" w:line="400" w:lineRule="exact"/>
      <w:ind w:firstLine="601" w:firstLineChars="0"/>
      <w:textAlignment w:val="baseline"/>
    </w:pPr>
    <w:rPr>
      <w:rFonts w:eastAsia="楷体_GB2312"/>
      <w:spacing w:val="8"/>
      <w:kern w:val="0"/>
      <w:sz w:val="28"/>
      <w:szCs w:val="20"/>
    </w:rPr>
  </w:style>
  <w:style w:type="paragraph" w:customStyle="1" w:styleId="238">
    <w:name w:val="表后文"/>
    <w:basedOn w:val="1"/>
    <w:qFormat/>
    <w:uiPriority w:val="0"/>
    <w:pPr>
      <w:adjustRightInd w:val="0"/>
      <w:spacing w:before="120" w:line="400" w:lineRule="exact"/>
      <w:ind w:firstLine="601" w:firstLineChars="0"/>
      <w:textAlignment w:val="baseline"/>
    </w:pPr>
    <w:rPr>
      <w:rFonts w:eastAsia="楷体_GB2312"/>
      <w:spacing w:val="8"/>
      <w:kern w:val="0"/>
      <w:sz w:val="28"/>
      <w:szCs w:val="20"/>
    </w:rPr>
  </w:style>
  <w:style w:type="paragraph" w:customStyle="1" w:styleId="239">
    <w:name w:val="标题 B"/>
    <w:basedOn w:val="3"/>
    <w:link w:val="266"/>
    <w:qFormat/>
    <w:uiPriority w:val="0"/>
    <w:pPr>
      <w:keepLines w:val="0"/>
      <w:widowControl w:val="0"/>
      <w:numPr>
        <w:numId w:val="0"/>
      </w:numPr>
      <w:adjustRightInd w:val="0"/>
      <w:snapToGrid w:val="0"/>
      <w:spacing w:before="840" w:after="240" w:line="400" w:lineRule="exact"/>
      <w:ind w:left="576" w:hanging="576"/>
      <w:jc w:val="both"/>
      <w:textAlignment w:val="baseline"/>
      <w:outlineLvl w:val="9"/>
    </w:pPr>
    <w:rPr>
      <w:rFonts w:ascii="Arial Rounded MT Bold" w:hAnsi="Arial Rounded MT Bold"/>
      <w:b w:val="0"/>
      <w:spacing w:val="8"/>
      <w:szCs w:val="24"/>
    </w:rPr>
  </w:style>
  <w:style w:type="paragraph" w:customStyle="1" w:styleId="240">
    <w:name w:val="正文编号"/>
    <w:basedOn w:val="1"/>
    <w:qFormat/>
    <w:uiPriority w:val="0"/>
    <w:pPr>
      <w:numPr>
        <w:ilvl w:val="0"/>
        <w:numId w:val="19"/>
      </w:numPr>
      <w:adjustRightInd w:val="0"/>
      <w:spacing w:line="400" w:lineRule="exact"/>
      <w:ind w:firstLineChars="0"/>
      <w:textAlignment w:val="baseline"/>
    </w:pPr>
    <w:rPr>
      <w:rFonts w:eastAsia="楷体_GB2312"/>
      <w:spacing w:val="8"/>
      <w:kern w:val="0"/>
      <w:sz w:val="28"/>
      <w:szCs w:val="20"/>
    </w:rPr>
  </w:style>
  <w:style w:type="paragraph" w:customStyle="1" w:styleId="241">
    <w:name w:val="正文大"/>
    <w:basedOn w:val="1"/>
    <w:qFormat/>
    <w:uiPriority w:val="0"/>
    <w:pPr>
      <w:adjustRightInd w:val="0"/>
      <w:spacing w:line="480" w:lineRule="exact"/>
      <w:ind w:firstLine="601" w:firstLineChars="0"/>
      <w:textAlignment w:val="baseline"/>
    </w:pPr>
    <w:rPr>
      <w:rFonts w:eastAsia="楷体_GB2312"/>
      <w:spacing w:val="8"/>
      <w:kern w:val="0"/>
      <w:sz w:val="28"/>
      <w:szCs w:val="20"/>
    </w:rPr>
  </w:style>
  <w:style w:type="paragraph" w:customStyle="1" w:styleId="242">
    <w:name w:val="正文2"/>
    <w:basedOn w:val="1"/>
    <w:qFormat/>
    <w:uiPriority w:val="0"/>
    <w:pPr>
      <w:adjustRightInd w:val="0"/>
      <w:spacing w:line="400" w:lineRule="exact"/>
      <w:ind w:firstLine="601" w:firstLineChars="0"/>
      <w:textAlignment w:val="baseline"/>
    </w:pPr>
    <w:rPr>
      <w:spacing w:val="8"/>
      <w:kern w:val="0"/>
      <w:sz w:val="28"/>
      <w:szCs w:val="20"/>
    </w:rPr>
  </w:style>
  <w:style w:type="paragraph" w:customStyle="1" w:styleId="243">
    <w:name w:val="正文3"/>
    <w:basedOn w:val="1"/>
    <w:qFormat/>
    <w:uiPriority w:val="0"/>
    <w:pPr>
      <w:adjustRightInd w:val="0"/>
      <w:ind w:firstLine="600" w:firstLineChars="0"/>
      <w:textAlignment w:val="baseline"/>
    </w:pPr>
    <w:rPr>
      <w:kern w:val="0"/>
      <w:sz w:val="30"/>
      <w:szCs w:val="20"/>
    </w:rPr>
  </w:style>
  <w:style w:type="paragraph" w:customStyle="1" w:styleId="244">
    <w:name w:val="正文4"/>
    <w:basedOn w:val="1"/>
    <w:qFormat/>
    <w:uiPriority w:val="0"/>
    <w:pPr>
      <w:adjustRightInd w:val="0"/>
      <w:spacing w:line="440" w:lineRule="exact"/>
      <w:ind w:firstLine="601" w:firstLineChars="0"/>
      <w:textAlignment w:val="baseline"/>
    </w:pPr>
    <w:rPr>
      <w:rFonts w:eastAsia="楷体_GB2312"/>
      <w:spacing w:val="8"/>
      <w:kern w:val="0"/>
      <w:sz w:val="28"/>
      <w:szCs w:val="20"/>
    </w:rPr>
  </w:style>
  <w:style w:type="paragraph" w:customStyle="1" w:styleId="245">
    <w:name w:val="Char Char Char1"/>
    <w:basedOn w:val="1"/>
    <w:qFormat/>
    <w:uiPriority w:val="0"/>
    <w:pPr>
      <w:spacing w:line="240" w:lineRule="auto"/>
      <w:ind w:firstLine="0" w:firstLineChars="0"/>
    </w:pPr>
    <w:rPr>
      <w:sz w:val="21"/>
    </w:rPr>
  </w:style>
  <w:style w:type="character" w:customStyle="1" w:styleId="246">
    <w:name w:val="表蕊 Char1"/>
    <w:link w:val="235"/>
    <w:qFormat/>
    <w:uiPriority w:val="0"/>
    <w:rPr>
      <w:rFonts w:ascii="Tahoma" w:hAnsi="Tahoma" w:eastAsia="楷体_GB2312" w:cs="Times New Roman"/>
      <w:spacing w:val="-10"/>
      <w:szCs w:val="24"/>
    </w:rPr>
  </w:style>
  <w:style w:type="character" w:customStyle="1" w:styleId="247">
    <w:name w:val="表头 Char"/>
    <w:link w:val="234"/>
    <w:qFormat/>
    <w:uiPriority w:val="0"/>
    <w:rPr>
      <w:rFonts w:ascii="Tahoma" w:hAnsi="Tahoma" w:eastAsia="黑体" w:cs="Times New Roman"/>
      <w:spacing w:val="-10"/>
      <w:szCs w:val="24"/>
    </w:rPr>
  </w:style>
  <w:style w:type="paragraph" w:customStyle="1" w:styleId="248">
    <w:name w:val="彩色列表 - 强调文字颜色 11"/>
    <w:basedOn w:val="1"/>
    <w:qFormat/>
    <w:uiPriority w:val="0"/>
    <w:pPr>
      <w:adjustRightInd w:val="0"/>
      <w:spacing w:line="400" w:lineRule="exact"/>
      <w:ind w:firstLine="420"/>
      <w:textAlignment w:val="baseline"/>
    </w:pPr>
    <w:rPr>
      <w:rFonts w:eastAsia="楷体_GB2312"/>
      <w:spacing w:val="8"/>
      <w:kern w:val="0"/>
      <w:sz w:val="28"/>
      <w:szCs w:val="20"/>
    </w:rPr>
  </w:style>
  <w:style w:type="paragraph" w:customStyle="1" w:styleId="249">
    <w:name w:val="标题 Bb"/>
    <w:basedOn w:val="239"/>
    <w:qFormat/>
    <w:uiPriority w:val="0"/>
    <w:pPr>
      <w:keepNext w:val="0"/>
      <w:spacing w:before="0" w:after="0"/>
    </w:pPr>
    <w:rPr>
      <w:rFonts w:ascii="Times New Roman" w:hAnsi="Times New Roman"/>
      <w:spacing w:val="24"/>
    </w:rPr>
  </w:style>
  <w:style w:type="paragraph" w:customStyle="1" w:styleId="250">
    <w:name w:val="正文内容"/>
    <w:basedOn w:val="30"/>
    <w:link w:val="251"/>
    <w:qFormat/>
    <w:uiPriority w:val="0"/>
    <w:pPr>
      <w:spacing w:beforeLines="50" w:after="0" w:afterLines="50" w:line="360" w:lineRule="auto"/>
      <w:ind w:left="0" w:leftChars="0" w:firstLine="480" w:firstLineChars="200"/>
    </w:pPr>
    <w:rPr>
      <w:rFonts w:ascii="Tahoma" w:hAnsi="Tahoma"/>
      <w:sz w:val="24"/>
    </w:rPr>
  </w:style>
  <w:style w:type="character" w:customStyle="1" w:styleId="251">
    <w:name w:val="正文内容 Char"/>
    <w:link w:val="250"/>
    <w:qFormat/>
    <w:uiPriority w:val="0"/>
    <w:rPr>
      <w:rFonts w:ascii="Tahoma" w:hAnsi="Tahoma" w:eastAsia="宋体" w:cs="Times New Roman"/>
      <w:sz w:val="24"/>
      <w:szCs w:val="24"/>
    </w:rPr>
  </w:style>
  <w:style w:type="character" w:customStyle="1" w:styleId="252">
    <w:name w:val="Char Char19"/>
    <w:qFormat/>
    <w:uiPriority w:val="0"/>
    <w:rPr>
      <w:rFonts w:ascii="楷体_GB2312" w:hAnsi="Tahoma" w:eastAsia="楷体_GB2312"/>
      <w:kern w:val="2"/>
      <w:sz w:val="28"/>
      <w:szCs w:val="28"/>
      <w:lang w:val="en-US" w:eastAsia="zh-CN" w:bidi="ar-SA"/>
    </w:rPr>
  </w:style>
  <w:style w:type="paragraph" w:customStyle="1" w:styleId="253">
    <w:name w:val="Char Char1 Char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54">
    <w:name w:val="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55">
    <w:name w:val="金宏发行正文 Char"/>
    <w:basedOn w:val="1"/>
    <w:link w:val="256"/>
    <w:qFormat/>
    <w:uiPriority w:val="0"/>
    <w:pPr>
      <w:ind w:firstLine="560"/>
    </w:pPr>
    <w:rPr>
      <w:rFonts w:ascii="Tahoma" w:hAnsi="Tahoma" w:eastAsia="仿宋_GB2312" w:cs="宋体"/>
      <w:sz w:val="28"/>
    </w:rPr>
  </w:style>
  <w:style w:type="character" w:customStyle="1" w:styleId="256">
    <w:name w:val="金宏发行正文 Char Char"/>
    <w:link w:val="255"/>
    <w:qFormat/>
    <w:uiPriority w:val="0"/>
    <w:rPr>
      <w:rFonts w:ascii="Tahoma" w:hAnsi="Tahoma" w:eastAsia="仿宋_GB2312" w:cs="宋体"/>
      <w:sz w:val="28"/>
      <w:szCs w:val="24"/>
    </w:rPr>
  </w:style>
  <w:style w:type="paragraph" w:customStyle="1" w:styleId="257">
    <w:name w:val="样式2"/>
    <w:basedOn w:val="44"/>
    <w:qFormat/>
    <w:uiPriority w:val="0"/>
    <w:pPr>
      <w:spacing w:after="0" w:line="240" w:lineRule="auto"/>
      <w:ind w:left="0" w:leftChars="0" w:firstLine="200" w:firstLineChars="200"/>
    </w:pPr>
    <w:rPr>
      <w:rFonts w:ascii="仿宋_GB2312" w:eastAsia="仿宋_GB2312"/>
      <w:sz w:val="30"/>
      <w:szCs w:val="28"/>
    </w:rPr>
  </w:style>
  <w:style w:type="paragraph" w:customStyle="1" w:styleId="258">
    <w:name w:val="文档正文"/>
    <w:basedOn w:val="1"/>
    <w:link w:val="259"/>
    <w:qFormat/>
    <w:uiPriority w:val="0"/>
    <w:pPr>
      <w:keepNext/>
      <w:adjustRightInd w:val="0"/>
      <w:ind w:firstLine="425" w:firstLineChars="0"/>
      <w:textAlignment w:val="baseline"/>
    </w:pPr>
    <w:rPr>
      <w:rFonts w:ascii="宋体" w:hAnsi="Tahoma"/>
    </w:rPr>
  </w:style>
  <w:style w:type="character" w:customStyle="1" w:styleId="259">
    <w:name w:val="文档正文 Char1"/>
    <w:link w:val="258"/>
    <w:qFormat/>
    <w:uiPriority w:val="0"/>
    <w:rPr>
      <w:rFonts w:ascii="宋体" w:hAnsi="Tahoma" w:eastAsia="宋体" w:cs="Times New Roman"/>
      <w:sz w:val="24"/>
      <w:szCs w:val="24"/>
    </w:rPr>
  </w:style>
  <w:style w:type="paragraph" w:customStyle="1" w:styleId="260">
    <w:name w:val="正文表格"/>
    <w:basedOn w:val="1"/>
    <w:qFormat/>
    <w:uiPriority w:val="0"/>
    <w:pPr>
      <w:spacing w:line="240" w:lineRule="auto"/>
      <w:ind w:left="10" w:right="10" w:firstLine="0" w:firstLineChars="0"/>
    </w:pPr>
    <w:rPr>
      <w:bCs/>
      <w:sz w:val="21"/>
      <w:szCs w:val="21"/>
    </w:rPr>
  </w:style>
  <w:style w:type="paragraph" w:customStyle="1" w:styleId="261">
    <w:name w:val="样式www6"/>
    <w:basedOn w:val="5"/>
    <w:qFormat/>
    <w:uiPriority w:val="0"/>
    <w:pPr>
      <w:widowControl w:val="0"/>
      <w:numPr>
        <w:numId w:val="0"/>
      </w:numPr>
      <w:tabs>
        <w:tab w:val="left" w:pos="1134"/>
      </w:tabs>
      <w:spacing w:line="374" w:lineRule="auto"/>
      <w:ind w:left="1134" w:hanging="1134"/>
      <w:jc w:val="both"/>
    </w:pPr>
    <w:rPr>
      <w:rFonts w:ascii="Arial" w:hAnsi="Arial" w:eastAsia="黑体"/>
      <w:lang w:val="zh-CN"/>
    </w:rPr>
  </w:style>
  <w:style w:type="paragraph" w:customStyle="1" w:styleId="262">
    <w:name w:val="样式 标题 5H5PIM 5Table labelh5l5hmmh2Module heading 2Head ..."/>
    <w:basedOn w:val="6"/>
    <w:qFormat/>
    <w:uiPriority w:val="0"/>
    <w:pPr>
      <w:widowControl w:val="0"/>
      <w:numPr>
        <w:numId w:val="0"/>
      </w:numPr>
      <w:tabs>
        <w:tab w:val="left" w:pos="360"/>
      </w:tabs>
      <w:spacing w:line="377" w:lineRule="auto"/>
      <w:ind w:left="1008" w:hanging="1008"/>
      <w:jc w:val="both"/>
    </w:pPr>
    <w:rPr>
      <w:rFonts w:ascii="宋体" w:hAnsi="宋体" w:cs="宋体"/>
      <w:sz w:val="24"/>
      <w:szCs w:val="20"/>
      <w:lang w:val="zh-CN"/>
    </w:rPr>
  </w:style>
  <w:style w:type="paragraph" w:customStyle="1" w:styleId="263">
    <w:name w:val="Char4"/>
    <w:basedOn w:val="1"/>
    <w:next w:val="1"/>
    <w:semiHidden/>
    <w:qFormat/>
    <w:uiPriority w:val="0"/>
    <w:pPr>
      <w:adjustRightInd w:val="0"/>
      <w:ind w:firstLine="0" w:firstLineChars="0"/>
    </w:pPr>
    <w:rPr>
      <w:kern w:val="0"/>
    </w:rPr>
  </w:style>
  <w:style w:type="paragraph" w:customStyle="1" w:styleId="264">
    <w:name w:val="图表"/>
    <w:basedOn w:val="1"/>
    <w:next w:val="1"/>
    <w:qFormat/>
    <w:uiPriority w:val="0"/>
    <w:pPr>
      <w:spacing w:before="120" w:after="120" w:line="240" w:lineRule="auto"/>
      <w:ind w:firstLine="0" w:firstLineChars="0"/>
      <w:jc w:val="center"/>
    </w:pPr>
    <w:rPr>
      <w:sz w:val="21"/>
    </w:rPr>
  </w:style>
  <w:style w:type="character" w:customStyle="1" w:styleId="265">
    <w:name w:val="Char Char12"/>
    <w:qFormat/>
    <w:uiPriority w:val="0"/>
    <w:rPr>
      <w:rFonts w:ascii="宋体" w:hAnsi="Tahoma" w:eastAsia="宋体" w:cs="宋体"/>
      <w:kern w:val="2"/>
      <w:sz w:val="24"/>
      <w:szCs w:val="24"/>
      <w:lang w:val="en-US" w:eastAsia="zh-CN" w:bidi="ar-SA"/>
    </w:rPr>
  </w:style>
  <w:style w:type="character" w:customStyle="1" w:styleId="266">
    <w:name w:val="标题 B Char"/>
    <w:link w:val="239"/>
    <w:qFormat/>
    <w:uiPriority w:val="0"/>
    <w:rPr>
      <w:rFonts w:ascii="Arial Rounded MT Bold" w:hAnsi="Arial Rounded MT Bold" w:eastAsia="黑体" w:cs="Times New Roman"/>
      <w:bCs/>
      <w:spacing w:val="8"/>
      <w:sz w:val="32"/>
      <w:szCs w:val="24"/>
    </w:rPr>
  </w:style>
  <w:style w:type="paragraph" w:customStyle="1" w:styleId="267">
    <w:name w:val="标书正文"/>
    <w:basedOn w:val="1"/>
    <w:qFormat/>
    <w:uiPriority w:val="0"/>
    <w:pPr>
      <w:widowControl/>
      <w:spacing w:before="120"/>
      <w:ind w:firstLine="250" w:firstLineChars="250"/>
    </w:pPr>
    <w:rPr>
      <w:rFonts w:ascii="Book Antiqua" w:hAnsi="Book Antiqua"/>
      <w:kern w:val="0"/>
    </w:rPr>
  </w:style>
  <w:style w:type="character" w:customStyle="1" w:styleId="268">
    <w:name w:val="脚注文本 字符"/>
    <w:basedOn w:val="85"/>
    <w:link w:val="58"/>
    <w:qFormat/>
    <w:uiPriority w:val="0"/>
    <w:rPr>
      <w:rFonts w:ascii="Tahoma" w:hAnsi="Tahoma" w:eastAsia="楷体_GB2312" w:cs="Times New Roman"/>
      <w:spacing w:val="8"/>
      <w:sz w:val="18"/>
      <w:szCs w:val="18"/>
    </w:rPr>
  </w:style>
  <w:style w:type="table" w:customStyle="1" w:styleId="269">
    <w:name w:val="浅色列表 - 强调文字颜色 11"/>
    <w:basedOn w:val="77"/>
    <w:qFormat/>
    <w:uiPriority w:val="0"/>
    <w:rPr>
      <w:rFonts w:ascii="Times New Roman" w:hAnsi="Times New Roman"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270">
    <w:name w:val="样式 首行缩进:  2 字符"/>
    <w:basedOn w:val="1"/>
    <w:link w:val="370"/>
    <w:qFormat/>
    <w:uiPriority w:val="0"/>
    <w:pPr>
      <w:spacing w:line="480" w:lineRule="exact"/>
      <w:ind w:firstLine="560"/>
    </w:pPr>
    <w:rPr>
      <w:rFonts w:eastAsia="仿宋_GB2312"/>
      <w:sz w:val="28"/>
      <w:szCs w:val="28"/>
      <w:lang w:val="zh-CN"/>
    </w:rPr>
  </w:style>
  <w:style w:type="character" w:customStyle="1" w:styleId="271">
    <w:name w:val="Char Char23"/>
    <w:qFormat/>
    <w:uiPriority w:val="0"/>
    <w:rPr>
      <w:rFonts w:ascii="Tahoma" w:hAnsi="Tahoma" w:eastAsia="宋体"/>
      <w:kern w:val="2"/>
      <w:sz w:val="18"/>
      <w:szCs w:val="18"/>
      <w:lang w:val="en-US" w:eastAsia="zh-CN" w:bidi="ar-SA"/>
    </w:rPr>
  </w:style>
  <w:style w:type="character" w:customStyle="1" w:styleId="272">
    <w:name w:val="Char Char22"/>
    <w:qFormat/>
    <w:uiPriority w:val="0"/>
  </w:style>
  <w:style w:type="character" w:customStyle="1" w:styleId="273">
    <w:name w:val="Char Char21"/>
    <w:qFormat/>
    <w:uiPriority w:val="0"/>
    <w:rPr>
      <w:rFonts w:ascii="Times New Roman" w:hAnsi="Times New Roman" w:eastAsia="宋体" w:cs="Times New Roman"/>
      <w:kern w:val="2"/>
      <w:sz w:val="24"/>
      <w:szCs w:val="24"/>
      <w:lang w:val="en-US" w:eastAsia="zh-CN" w:bidi="ar-SA"/>
    </w:rPr>
  </w:style>
  <w:style w:type="character" w:customStyle="1" w:styleId="274">
    <w:name w:val="无间隔 字符"/>
    <w:link w:val="154"/>
    <w:qFormat/>
    <w:uiPriority w:val="1"/>
    <w:rPr>
      <w:rFonts w:ascii="Times New Roman" w:hAnsi="Times New Roman" w:eastAsia="DFKai-SB" w:cs="Times New Roman"/>
      <w:sz w:val="24"/>
      <w:szCs w:val="32"/>
      <w:lang w:eastAsia="zh-TW"/>
    </w:rPr>
  </w:style>
  <w:style w:type="character" w:customStyle="1" w:styleId="275">
    <w:name w:val="Char Char20"/>
    <w:semiHidden/>
    <w:qFormat/>
    <w:uiPriority w:val="0"/>
    <w:rPr>
      <w:rFonts w:ascii="Times New Roman" w:hAnsi="Times New Roman" w:eastAsia="宋体" w:cs="Times New Roman"/>
      <w:kern w:val="2"/>
      <w:sz w:val="18"/>
      <w:szCs w:val="18"/>
      <w:lang w:val="en-US" w:eastAsia="zh-CN" w:bidi="ar-SA"/>
    </w:rPr>
  </w:style>
  <w:style w:type="character" w:customStyle="1" w:styleId="276">
    <w:name w:val="Char Char31"/>
    <w:qFormat/>
    <w:uiPriority w:val="0"/>
    <w:rPr>
      <w:rFonts w:ascii="Arial" w:hAnsi="Arial" w:eastAsia="黑体" w:cs="Times New Roman"/>
      <w:b/>
      <w:bCs/>
      <w:kern w:val="2"/>
      <w:sz w:val="32"/>
      <w:szCs w:val="32"/>
      <w:lang w:val="en-US" w:eastAsia="zh-CN" w:bidi="ar-SA"/>
    </w:rPr>
  </w:style>
  <w:style w:type="character" w:customStyle="1" w:styleId="277">
    <w:name w:val="Char Char30"/>
    <w:qFormat/>
    <w:uiPriority w:val="0"/>
    <w:rPr>
      <w:rFonts w:ascii="Times New Roman" w:hAnsi="Times New Roman" w:eastAsia="宋体" w:cs="Times New Roman"/>
      <w:b/>
      <w:bCs/>
      <w:kern w:val="2"/>
      <w:sz w:val="32"/>
      <w:szCs w:val="32"/>
      <w:lang w:val="en-US" w:eastAsia="zh-CN" w:bidi="ar-SA"/>
    </w:rPr>
  </w:style>
  <w:style w:type="character" w:customStyle="1" w:styleId="278">
    <w:name w:val="Char Char29"/>
    <w:qFormat/>
    <w:uiPriority w:val="0"/>
    <w:rPr>
      <w:rFonts w:ascii="Arial" w:hAnsi="Arial" w:eastAsia="黑体" w:cs="Times New Roman"/>
      <w:b/>
      <w:bCs/>
      <w:kern w:val="2"/>
      <w:sz w:val="28"/>
      <w:szCs w:val="28"/>
      <w:lang w:val="en-US" w:eastAsia="zh-CN" w:bidi="ar-SA"/>
    </w:rPr>
  </w:style>
  <w:style w:type="character" w:customStyle="1" w:styleId="279">
    <w:name w:val="Char Char28"/>
    <w:qFormat/>
    <w:uiPriority w:val="0"/>
    <w:rPr>
      <w:rFonts w:ascii="Times New Roman" w:hAnsi="Times New Roman" w:eastAsia="宋体" w:cs="Times New Roman"/>
      <w:b/>
      <w:bCs/>
      <w:kern w:val="2"/>
      <w:sz w:val="28"/>
      <w:szCs w:val="28"/>
      <w:lang w:val="en-US" w:eastAsia="zh-CN" w:bidi="ar-SA"/>
    </w:rPr>
  </w:style>
  <w:style w:type="character" w:customStyle="1" w:styleId="280">
    <w:name w:val="Char Char27"/>
    <w:qFormat/>
    <w:uiPriority w:val="0"/>
    <w:rPr>
      <w:rFonts w:ascii="Arial" w:hAnsi="Arial" w:eastAsia="黑体" w:cs="Times New Roman"/>
      <w:b/>
      <w:bCs/>
      <w:kern w:val="2"/>
      <w:sz w:val="24"/>
      <w:szCs w:val="24"/>
      <w:lang w:val="en-US" w:eastAsia="zh-CN" w:bidi="ar-SA"/>
    </w:rPr>
  </w:style>
  <w:style w:type="character" w:customStyle="1" w:styleId="281">
    <w:name w:val="Char Char191"/>
    <w:semiHidden/>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282">
    <w:name w:val="标题 字符1"/>
    <w:basedOn w:val="85"/>
    <w:qFormat/>
    <w:uiPriority w:val="10"/>
    <w:rPr>
      <w:rFonts w:asciiTheme="majorHAnsi" w:hAnsiTheme="majorHAnsi" w:eastAsiaTheme="majorEastAsia" w:cstheme="majorBidi"/>
      <w:b/>
      <w:bCs/>
      <w:sz w:val="32"/>
      <w:szCs w:val="32"/>
    </w:rPr>
  </w:style>
  <w:style w:type="character" w:customStyle="1" w:styleId="283">
    <w:name w:val="标题 Char1"/>
    <w:basedOn w:val="85"/>
    <w:qFormat/>
    <w:uiPriority w:val="10"/>
    <w:rPr>
      <w:rFonts w:eastAsia="宋体" w:asciiTheme="majorHAnsi" w:hAnsiTheme="majorHAnsi" w:cstheme="majorBidi"/>
      <w:b/>
      <w:bCs/>
      <w:sz w:val="32"/>
      <w:szCs w:val="32"/>
    </w:rPr>
  </w:style>
  <w:style w:type="paragraph" w:customStyle="1" w:styleId="284">
    <w:name w:val="样式4"/>
    <w:basedOn w:val="5"/>
    <w:qFormat/>
    <w:uiPriority w:val="0"/>
    <w:pPr>
      <w:widowControl w:val="0"/>
      <w:numPr>
        <w:numId w:val="0"/>
      </w:numPr>
      <w:tabs>
        <w:tab w:val="left" w:pos="851"/>
      </w:tabs>
      <w:ind w:left="851" w:hanging="851"/>
      <w:jc w:val="both"/>
    </w:pPr>
    <w:rPr>
      <w:rFonts w:ascii="Arial" w:hAnsi="Arial" w:eastAsia="黑体"/>
      <w:lang w:val="zh-CN"/>
    </w:rPr>
  </w:style>
  <w:style w:type="paragraph" w:customStyle="1" w:styleId="285">
    <w:name w:val="标准段落正文"/>
    <w:basedOn w:val="1"/>
    <w:qFormat/>
    <w:uiPriority w:val="0"/>
    <w:pPr>
      <w:spacing w:line="312" w:lineRule="auto"/>
      <w:ind w:firstLine="0" w:firstLineChars="0"/>
    </w:pPr>
    <w:rPr>
      <w:rFonts w:cs="宋体"/>
      <w:szCs w:val="20"/>
    </w:rPr>
  </w:style>
  <w:style w:type="paragraph" w:customStyle="1" w:styleId="286">
    <w:name w:val="样式 标题 1 + 三号"/>
    <w:basedOn w:val="1"/>
    <w:qFormat/>
    <w:uiPriority w:val="0"/>
    <w:pPr>
      <w:tabs>
        <w:tab w:val="left" w:pos="425"/>
      </w:tabs>
      <w:spacing w:line="240" w:lineRule="auto"/>
      <w:ind w:left="425" w:hanging="425" w:firstLineChars="0"/>
    </w:pPr>
    <w:rPr>
      <w:sz w:val="21"/>
    </w:rPr>
  </w:style>
  <w:style w:type="paragraph" w:customStyle="1" w:styleId="287">
    <w:name w:val="样式 标题 2 + 四号"/>
    <w:basedOn w:val="1"/>
    <w:qFormat/>
    <w:uiPriority w:val="0"/>
    <w:pPr>
      <w:numPr>
        <w:ilvl w:val="0"/>
        <w:numId w:val="20"/>
      </w:numPr>
      <w:tabs>
        <w:tab w:val="left" w:pos="567"/>
        <w:tab w:val="clear" w:pos="425"/>
      </w:tabs>
      <w:spacing w:line="240" w:lineRule="auto"/>
      <w:ind w:left="567" w:hanging="567" w:firstLineChars="0"/>
    </w:pPr>
    <w:rPr>
      <w:sz w:val="21"/>
    </w:rPr>
  </w:style>
  <w:style w:type="character" w:customStyle="1" w:styleId="288">
    <w:name w:val="样式3 Char"/>
    <w:link w:val="146"/>
    <w:qFormat/>
    <w:uiPriority w:val="0"/>
    <w:rPr>
      <w:rFonts w:ascii="宋体" w:hAnsi="Courier New" w:eastAsia="宋体" w:cs="Times New Roman"/>
      <w:sz w:val="28"/>
      <w:szCs w:val="20"/>
    </w:rPr>
  </w:style>
  <w:style w:type="paragraph" w:customStyle="1" w:styleId="289">
    <w:name w:val="Char Char Char Char Char Char Char Char"/>
    <w:basedOn w:val="1"/>
    <w:qFormat/>
    <w:uiPriority w:val="0"/>
    <w:pPr>
      <w:tabs>
        <w:tab w:val="left" w:pos="360"/>
      </w:tabs>
      <w:spacing w:line="240" w:lineRule="auto"/>
      <w:ind w:firstLine="0" w:firstLineChars="0"/>
    </w:pPr>
  </w:style>
  <w:style w:type="table" w:customStyle="1" w:styleId="290">
    <w:name w:val="浅色列表1"/>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91">
    <w:name w:val="深色列表 - 强调文字颜色 21"/>
    <w:basedOn w:val="77"/>
    <w:qFormat/>
    <w:uiPriority w:val="0"/>
    <w:rPr>
      <w:rFonts w:ascii="Calibri" w:hAnsi="Calibri" w:eastAsia="宋体" w:cs="Times New Roman"/>
    </w:rPr>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292">
    <w:name w:val="深色列表 - 强调文字颜色 31"/>
    <w:basedOn w:val="77"/>
    <w:qFormat/>
    <w:uiPriority w:val="0"/>
    <w:rPr>
      <w:rFonts w:ascii="Calibri" w:hAnsi="Calibri" w:eastAsia="宋体" w:cs="Times New Roman"/>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293">
    <w:name w:val="深色列表 - 强调文字颜色 41"/>
    <w:basedOn w:val="77"/>
    <w:qFormat/>
    <w:uiPriority w:val="0"/>
    <w:rPr>
      <w:rFonts w:ascii="Calibri" w:hAnsi="Calibri" w:eastAsia="宋体" w:cs="Times New Roman"/>
    </w:rPr>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cPr>
        <w:shd w:val="clear" w:color="auto" w:fill="8064A2"/>
      </w:tcPr>
    </w:tblStylePr>
    <w:tblStylePr w:type="lastRow">
      <w:pPr>
        <w:spacing w:before="0" w:after="0" w:line="240" w:lineRule="auto"/>
      </w:pPr>
      <w:rPr>
        <w:b/>
        <w:bCs/>
      </w:r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cPr>
        <w:tcBorders>
          <w:top w:val="single" w:color="8064A2" w:sz="8" w:space="0"/>
          <w:left w:val="single" w:color="8064A2" w:sz="8" w:space="0"/>
          <w:bottom w:val="single" w:color="8064A2" w:sz="8" w:space="0"/>
          <w:right w:val="single" w:color="8064A2" w:sz="8" w:space="0"/>
        </w:tcBorders>
      </w:tcPr>
    </w:tblStylePr>
    <w:tblStylePr w:type="band1Horz">
      <w:tcPr>
        <w:tcBorders>
          <w:top w:val="single" w:color="8064A2" w:sz="8" w:space="0"/>
          <w:left w:val="single" w:color="8064A2" w:sz="8" w:space="0"/>
          <w:bottom w:val="single" w:color="8064A2" w:sz="8" w:space="0"/>
          <w:right w:val="single" w:color="8064A2" w:sz="8" w:space="0"/>
        </w:tcBorders>
      </w:tcPr>
    </w:tblStylePr>
  </w:style>
  <w:style w:type="table" w:customStyle="1" w:styleId="294">
    <w:name w:val="彩色列表 - 强调文字颜色 51"/>
    <w:basedOn w:val="77"/>
    <w:qFormat/>
    <w:uiPriority w:val="0"/>
    <w:rPr>
      <w:rFonts w:ascii="Calibri" w:hAnsi="Calibri" w:eastAsia="宋体" w:cs="Times New Roman"/>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295">
    <w:name w:val="中等深浅列表 2 - 强调文字颜色 61"/>
    <w:basedOn w:val="77"/>
    <w:qFormat/>
    <w:uiPriority w:val="0"/>
    <w:rPr>
      <w:rFonts w:ascii="Calibri" w:hAnsi="Calibri" w:eastAsia="宋体" w:cs="Times New Roman"/>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cPr>
        <w:tcBorders>
          <w:top w:val="nil"/>
          <w:left w:val="nil"/>
          <w:bottom w:val="single" w:color="F79646"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76A7C"/>
      </w:tcPr>
    </w:tblStylePr>
    <w:tblStylePr w:type="firstCol">
      <w:rPr>
        <w:color w:val="FFFFFF"/>
      </w:rPr>
      <w:tcPr>
        <w:tcBorders>
          <w:top w:val="nil"/>
          <w:left w:val="nil"/>
          <w:bottom w:val="nil"/>
          <w:right w:val="nil"/>
          <w:insideH w:val="single" w:sz="4" w:space="0"/>
          <w:insideV w:val="nil"/>
        </w:tcBorders>
        <w:shd w:val="clear" w:color="auto" w:fill="276A7C"/>
      </w:tcPr>
    </w:tblStylePr>
    <w:tblStylePr w:type="lastCol">
      <w:rPr>
        <w:color w:val="FFFFFF"/>
      </w:rPr>
      <w:tcPr>
        <w:tcBorders>
          <w:top w:val="nil"/>
          <w:left w:val="nil"/>
          <w:bottom w:val="nil"/>
          <w:right w:val="nil"/>
          <w:insideH w:val="nil"/>
          <w:insideV w:val="nil"/>
        </w:tcBorders>
        <w:shd w:val="clear" w:color="auto" w:fill="276A7C"/>
      </w:tcPr>
    </w:tblStylePr>
    <w:tblStylePr w:type="band1Vert">
      <w:tcPr>
        <w:shd w:val="clear" w:color="auto" w:fill="B6DDE8"/>
      </w:tcPr>
    </w:tblStylePr>
    <w:tblStylePr w:type="band1Horz">
      <w:tcPr>
        <w:shd w:val="clear" w:color="auto" w:fill="A5D5E2"/>
      </w:tcPr>
    </w:tblStylePr>
    <w:tblStylePr w:type="neCell">
      <w:rPr>
        <w:color w:val="000000"/>
      </w:rPr>
    </w:tblStylePr>
    <w:tblStylePr w:type="nwCell">
      <w:rPr>
        <w:color w:val="000000"/>
      </w:rPr>
    </w:tblStylePr>
  </w:style>
  <w:style w:type="table" w:customStyle="1" w:styleId="296">
    <w:name w:val="浅色列表 - 强调文字颜色 12"/>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97">
    <w:name w:val="深色列表 - 强调文字颜色 51"/>
    <w:basedOn w:val="77"/>
    <w:qFormat/>
    <w:uiPriority w:val="0"/>
    <w:rPr>
      <w:rFonts w:ascii="Calibri" w:hAnsi="Calibri" w:eastAsia="宋体" w:cs="Times New Roman"/>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298">
    <w:name w:val="浅色底纹1"/>
    <w:basedOn w:val="77"/>
    <w:qFormat/>
    <w:uiPriority w:val="0"/>
    <w:rPr>
      <w:rFonts w:ascii="Calibri" w:hAnsi="Calibri" w:eastAsia="宋体"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99">
    <w:name w:val="浅色底纹 - 强调文字颜色 11"/>
    <w:basedOn w:val="77"/>
    <w:qFormat/>
    <w:uiPriority w:val="0"/>
    <w:rPr>
      <w:rFonts w:ascii="Calibri" w:hAnsi="Calibri" w:eastAsia="宋体" w:cs="Times New Roman"/>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300">
    <w:name w:val="中等深浅网格 3 - 强调文字颜色 61"/>
    <w:basedOn w:val="77"/>
    <w:qFormat/>
    <w:uiPriority w:val="0"/>
    <w:rPr>
      <w:rFonts w:ascii="Calibri" w:hAnsi="Calibri" w:eastAsia="宋体" w:cs="Times New Roman"/>
      <w:color w:val="E36C0A"/>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301">
    <w:name w:val="中等深浅底纹 1 - 强调文字颜色 11"/>
    <w:basedOn w:val="77"/>
    <w:qFormat/>
    <w:uiPriority w:val="0"/>
    <w:rPr>
      <w:rFonts w:ascii="Calibri" w:hAnsi="Calibri" w:eastAsia="宋体" w:cs="Times New Roman"/>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table" w:customStyle="1" w:styleId="302">
    <w:name w:val="中等深浅底纹 11"/>
    <w:basedOn w:val="77"/>
    <w:qFormat/>
    <w:uiPriority w:val="0"/>
    <w:rPr>
      <w:rFonts w:ascii="Calibri" w:hAnsi="Calibri" w:eastAsia="宋体" w:cs="Times New Roman"/>
    </w:rPr>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cPr>
        <w:shd w:val="clear" w:color="auto" w:fill="C0C0C0"/>
      </w:tcPr>
    </w:tblStylePr>
    <w:tblStylePr w:type="band1Horz">
      <w:tcPr>
        <w:tcBorders>
          <w:insideH w:val="nil"/>
          <w:insideV w:val="nil"/>
        </w:tcBorders>
        <w:shd w:val="clear" w:color="auto" w:fill="C0C0C0"/>
      </w:tcPr>
    </w:tblStylePr>
    <w:tblStylePr w:type="band2Horz">
      <w:tcPr>
        <w:tcBorders>
          <w:insideH w:val="nil"/>
          <w:insideV w:val="nil"/>
        </w:tcBorders>
      </w:tcPr>
    </w:tblStylePr>
  </w:style>
  <w:style w:type="table" w:customStyle="1" w:styleId="303">
    <w:name w:val="浅色网格 - 强调文字颜色 11"/>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Book Antiqua" w:hAnsi="Book Antiqua" w:eastAsia="MS Outlook"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304">
    <w:name w:val="浅色网格1"/>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ook Antiqua" w:hAnsi="Book Antiqua" w:eastAsia="MS Outlook"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305">
    <w:name w:val="浅色列表2"/>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06">
    <w:name w:val="中等深浅列表 11"/>
    <w:basedOn w:val="77"/>
    <w:qFormat/>
    <w:uiPriority w:val="0"/>
    <w:rPr>
      <w:rFonts w:ascii="Calibri" w:hAnsi="Calibri" w:eastAsia="宋体" w:cs="Times New Roman"/>
      <w:color w:val="000000"/>
    </w:rPr>
    <w:tblPr>
      <w:tblBorders>
        <w:top w:val="single" w:color="000000" w:sz="8" w:space="0"/>
        <w:bottom w:val="single" w:color="000000" w:sz="8" w:space="0"/>
      </w:tblBorders>
    </w:tblPr>
    <w:tblStylePr w:type="firstRow">
      <w:rPr>
        <w:rFonts w:ascii="Book Antiqua" w:hAnsi="Book Antiqua" w:eastAsia="MS Outlook" w:cs="Times New Roman"/>
      </w:rPr>
      <w:tcPr>
        <w:tcBorders>
          <w:top w:val="nil"/>
          <w:bottom w:val="single" w:color="000000" w:sz="8" w:space="0"/>
        </w:tcBorders>
      </w:tcPr>
    </w:tblStylePr>
    <w:tblStylePr w:type="lastRow">
      <w:rPr>
        <w:b/>
        <w:bCs/>
        <w:color w:val="1F497D"/>
      </w:rPr>
      <w:tcPr>
        <w:tcBorders>
          <w:top w:val="single" w:color="000000" w:sz="8" w:space="0"/>
          <w:bottom w:val="single" w:color="000000" w:sz="8" w:space="0"/>
        </w:tcBorders>
      </w:tcPr>
    </w:tblStylePr>
    <w:tblStylePr w:type="firstCol">
      <w:rPr>
        <w:b/>
        <w:bCs/>
      </w:rPr>
    </w:tblStylePr>
    <w:tblStylePr w:type="lastCol">
      <w:rPr>
        <w:b/>
        <w:bCs/>
      </w:rPr>
      <w:tcPr>
        <w:tcBorders>
          <w:top w:val="single" w:color="000000" w:sz="8" w:space="0"/>
          <w:bottom w:val="single" w:color="000000" w:sz="8" w:space="0"/>
        </w:tcBorders>
      </w:tcPr>
    </w:tblStylePr>
    <w:tblStylePr w:type="band1Vert">
      <w:tcPr>
        <w:shd w:val="clear" w:color="auto" w:fill="C0C0C0"/>
      </w:tcPr>
    </w:tblStylePr>
    <w:tblStylePr w:type="band1Horz">
      <w:tcPr>
        <w:shd w:val="clear" w:color="auto" w:fill="C0C0C0"/>
      </w:tcPr>
    </w:tblStylePr>
  </w:style>
  <w:style w:type="table" w:customStyle="1" w:styleId="307">
    <w:name w:val="浅色网格2"/>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ook Antiqua" w:hAnsi="Book Antiqua" w:eastAsia="MS Outlook"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308">
    <w:name w:val="浅色底纹2"/>
    <w:basedOn w:val="77"/>
    <w:qFormat/>
    <w:uiPriority w:val="0"/>
    <w:rPr>
      <w:rFonts w:ascii="Calibri" w:hAnsi="Calibri" w:eastAsia="宋体"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09">
    <w:name w:val="彩色底纹 - 强调文字颜色 51"/>
    <w:basedOn w:val="77"/>
    <w:qFormat/>
    <w:uiPriority w:val="0"/>
    <w:rPr>
      <w:rFonts w:ascii="Calibri" w:hAnsi="Calibri" w:eastAsia="宋体" w:cs="Times New Roman"/>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Book Antiqua" w:hAnsi="Book Antiqua" w:eastAsia="MS Outlook"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customStyle="1" w:styleId="310">
    <w:name w:val="浅色列表 - 强调文字颜色 13"/>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11">
    <w:name w:val="浅色网格3"/>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ook Antiqua" w:hAnsi="Book Antiqua" w:eastAsia="MS Outlook"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312">
    <w:name w:val="浅色列表 - 强调文字颜色 14"/>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13">
    <w:name w:val="浅色列表 - 强调文字颜色 15"/>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character" w:customStyle="1" w:styleId="314">
    <w:name w:val="Char Char26"/>
    <w:qFormat/>
    <w:uiPriority w:val="0"/>
    <w:rPr>
      <w:rFonts w:ascii="Times New Roman" w:hAnsi="Times New Roman" w:eastAsia="宋体" w:cs="Times New Roman"/>
      <w:b/>
      <w:bCs/>
      <w:kern w:val="2"/>
      <w:sz w:val="24"/>
      <w:szCs w:val="24"/>
      <w:lang w:val="en-US" w:eastAsia="zh-CN" w:bidi="ar-SA"/>
    </w:rPr>
  </w:style>
  <w:style w:type="character" w:customStyle="1" w:styleId="315">
    <w:name w:val="Char Char25"/>
    <w:qFormat/>
    <w:uiPriority w:val="0"/>
    <w:rPr>
      <w:rFonts w:ascii="Arial" w:hAnsi="Arial" w:eastAsia="黑体" w:cs="Times New Roman"/>
      <w:kern w:val="2"/>
      <w:sz w:val="24"/>
      <w:szCs w:val="24"/>
      <w:lang w:val="en-US" w:eastAsia="zh-CN" w:bidi="ar-SA"/>
    </w:rPr>
  </w:style>
  <w:style w:type="character" w:customStyle="1" w:styleId="316">
    <w:name w:val="Char Char24"/>
    <w:qFormat/>
    <w:uiPriority w:val="0"/>
    <w:rPr>
      <w:rFonts w:ascii="Arial" w:hAnsi="Arial" w:eastAsia="黑体" w:cs="Times New Roman"/>
      <w:kern w:val="2"/>
      <w:sz w:val="24"/>
      <w:szCs w:val="21"/>
      <w:lang w:val="en-US" w:eastAsia="zh-CN" w:bidi="ar-SA"/>
    </w:rPr>
  </w:style>
  <w:style w:type="character" w:customStyle="1" w:styleId="317">
    <w:name w:val="Char Char16"/>
    <w:qFormat/>
    <w:uiPriority w:val="0"/>
    <w:rPr>
      <w:rFonts w:ascii="Times New Roman" w:hAnsi="Times New Roman" w:eastAsia="宋体" w:cs="Times New Roman"/>
      <w:kern w:val="2"/>
      <w:sz w:val="24"/>
      <w:szCs w:val="24"/>
      <w:lang w:val="en-US" w:eastAsia="zh-CN" w:bidi="ar-SA"/>
    </w:rPr>
  </w:style>
  <w:style w:type="character" w:customStyle="1" w:styleId="318">
    <w:name w:val="HTML 地址 字符"/>
    <w:basedOn w:val="85"/>
    <w:link w:val="36"/>
    <w:qFormat/>
    <w:uiPriority w:val="0"/>
    <w:rPr>
      <w:rFonts w:ascii="Tahoma" w:hAnsi="Tahoma" w:eastAsia="宋体" w:cs="Times New Roman"/>
      <w:i/>
      <w:iCs/>
      <w:szCs w:val="24"/>
    </w:rPr>
  </w:style>
  <w:style w:type="character" w:customStyle="1" w:styleId="319">
    <w:name w:val="HTML 预设格式 字符"/>
    <w:basedOn w:val="85"/>
    <w:link w:val="69"/>
    <w:qFormat/>
    <w:uiPriority w:val="99"/>
    <w:rPr>
      <w:rFonts w:ascii="Courier New" w:hAnsi="Courier New" w:eastAsia="宋体" w:cs="Courier New"/>
      <w:sz w:val="24"/>
      <w:szCs w:val="24"/>
    </w:rPr>
  </w:style>
  <w:style w:type="character" w:customStyle="1" w:styleId="320">
    <w:name w:val="称呼 字符"/>
    <w:basedOn w:val="85"/>
    <w:link w:val="25"/>
    <w:qFormat/>
    <w:uiPriority w:val="0"/>
    <w:rPr>
      <w:rFonts w:ascii="Tahoma" w:hAnsi="Tahoma" w:eastAsia="宋体" w:cs="Times New Roman"/>
      <w:szCs w:val="24"/>
    </w:rPr>
  </w:style>
  <w:style w:type="character" w:customStyle="1" w:styleId="321">
    <w:name w:val="Char Char121"/>
    <w:qFormat/>
    <w:uiPriority w:val="0"/>
    <w:rPr>
      <w:rFonts w:ascii="宋体" w:hAnsi="Courier New" w:eastAsia="宋体" w:cs="Courier New"/>
      <w:kern w:val="2"/>
      <w:sz w:val="24"/>
      <w:szCs w:val="21"/>
      <w:lang w:val="en-US" w:eastAsia="zh-CN" w:bidi="ar-SA"/>
    </w:rPr>
  </w:style>
  <w:style w:type="character" w:customStyle="1" w:styleId="322">
    <w:name w:val="电子邮件签名 字符"/>
    <w:basedOn w:val="85"/>
    <w:link w:val="17"/>
    <w:qFormat/>
    <w:uiPriority w:val="0"/>
    <w:rPr>
      <w:rFonts w:ascii="Tahoma" w:hAnsi="Tahoma" w:eastAsia="宋体" w:cs="Times New Roman"/>
      <w:szCs w:val="24"/>
    </w:rPr>
  </w:style>
  <w:style w:type="character" w:customStyle="1" w:styleId="323">
    <w:name w:val="副标题 字符"/>
    <w:basedOn w:val="85"/>
    <w:link w:val="55"/>
    <w:qFormat/>
    <w:uiPriority w:val="0"/>
    <w:rPr>
      <w:rFonts w:ascii="Arial" w:hAnsi="Arial" w:eastAsia="宋体" w:cs="Arial"/>
      <w:b/>
      <w:bCs/>
      <w:kern w:val="28"/>
      <w:sz w:val="32"/>
      <w:szCs w:val="32"/>
    </w:rPr>
  </w:style>
  <w:style w:type="character" w:customStyle="1" w:styleId="324">
    <w:name w:val="结束语 字符"/>
    <w:basedOn w:val="85"/>
    <w:link w:val="27"/>
    <w:qFormat/>
    <w:uiPriority w:val="0"/>
    <w:rPr>
      <w:rFonts w:ascii="Tahoma" w:hAnsi="Tahoma" w:eastAsia="宋体" w:cs="Times New Roman"/>
      <w:szCs w:val="24"/>
    </w:rPr>
  </w:style>
  <w:style w:type="character" w:customStyle="1" w:styleId="325">
    <w:name w:val="签名 字符"/>
    <w:basedOn w:val="85"/>
    <w:link w:val="51"/>
    <w:qFormat/>
    <w:uiPriority w:val="0"/>
    <w:rPr>
      <w:rFonts w:ascii="Tahoma" w:hAnsi="Tahoma" w:eastAsia="宋体" w:cs="Times New Roman"/>
      <w:szCs w:val="24"/>
    </w:rPr>
  </w:style>
  <w:style w:type="character" w:customStyle="1" w:styleId="326">
    <w:name w:val="信息标题 字符1"/>
    <w:basedOn w:val="85"/>
    <w:semiHidden/>
    <w:qFormat/>
    <w:uiPriority w:val="99"/>
    <w:rPr>
      <w:rFonts w:asciiTheme="majorHAnsi" w:hAnsiTheme="majorHAnsi" w:eastAsiaTheme="majorEastAsia" w:cstheme="majorBidi"/>
      <w:sz w:val="24"/>
      <w:szCs w:val="24"/>
      <w:shd w:val="pct20" w:color="auto" w:fill="auto"/>
    </w:rPr>
  </w:style>
  <w:style w:type="character" w:customStyle="1" w:styleId="327">
    <w:name w:val="信息标题 Char1"/>
    <w:basedOn w:val="85"/>
    <w:semiHidden/>
    <w:qFormat/>
    <w:uiPriority w:val="99"/>
    <w:rPr>
      <w:rFonts w:asciiTheme="majorHAnsi" w:hAnsiTheme="majorHAnsi" w:eastAsiaTheme="majorEastAsia" w:cstheme="majorBidi"/>
      <w:sz w:val="24"/>
      <w:szCs w:val="24"/>
      <w:shd w:val="pct20" w:color="auto" w:fill="auto"/>
    </w:rPr>
  </w:style>
  <w:style w:type="character" w:customStyle="1" w:styleId="328">
    <w:name w:val="注释标题 字符"/>
    <w:basedOn w:val="85"/>
    <w:link w:val="15"/>
    <w:qFormat/>
    <w:uiPriority w:val="0"/>
    <w:rPr>
      <w:rFonts w:ascii="Tahoma" w:hAnsi="Tahoma" w:eastAsia="宋体" w:cs="Times New Roman"/>
      <w:szCs w:val="24"/>
    </w:rPr>
  </w:style>
  <w:style w:type="paragraph" w:customStyle="1" w:styleId="329">
    <w:name w:val="样式 首行缩进:  0.74 厘米 Char Char Char Char Char Char Char"/>
    <w:basedOn w:val="1"/>
    <w:link w:val="330"/>
    <w:qFormat/>
    <w:uiPriority w:val="0"/>
    <w:pPr>
      <w:ind w:firstLine="454" w:firstLineChars="0"/>
    </w:pPr>
    <w:rPr>
      <w:rFonts w:ascii="Tahoma" w:hAnsi="Tahoma" w:eastAsia="楷体_GB2312" w:cs="宋体"/>
    </w:rPr>
  </w:style>
  <w:style w:type="character" w:customStyle="1" w:styleId="330">
    <w:name w:val="样式 首行缩进:  0.74 厘米 Char Char Char Char Char Char Char Char"/>
    <w:link w:val="329"/>
    <w:qFormat/>
    <w:uiPriority w:val="0"/>
    <w:rPr>
      <w:rFonts w:ascii="Tahoma" w:hAnsi="Tahoma" w:eastAsia="楷体_GB2312" w:cs="宋体"/>
      <w:sz w:val="24"/>
      <w:szCs w:val="24"/>
    </w:rPr>
  </w:style>
  <w:style w:type="paragraph" w:customStyle="1" w:styleId="331">
    <w:name w:val="样式 左侧:  1.06 厘米 首行缩进:  0 厘米 行距: 单倍行距"/>
    <w:basedOn w:val="1"/>
    <w:qFormat/>
    <w:uiPriority w:val="0"/>
    <w:pPr>
      <w:adjustRightInd w:val="0"/>
      <w:spacing w:line="240" w:lineRule="auto"/>
      <w:ind w:firstLine="0" w:firstLineChars="0"/>
      <w:textAlignment w:val="baseline"/>
    </w:pPr>
    <w:rPr>
      <w:rFonts w:eastAsia="楷体_GB2312" w:cs="宋体"/>
      <w:spacing w:val="8"/>
      <w:kern w:val="0"/>
      <w:sz w:val="28"/>
      <w:szCs w:val="20"/>
    </w:rPr>
  </w:style>
  <w:style w:type="paragraph" w:customStyle="1" w:styleId="332">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33">
    <w:name w:val="xl64"/>
    <w:basedOn w:val="1"/>
    <w:qFormat/>
    <w:uiPriority w:val="0"/>
    <w:pPr>
      <w:widowControl/>
      <w:spacing w:before="100" w:beforeAutospacing="1" w:after="100" w:afterAutospacing="1" w:line="240" w:lineRule="auto"/>
      <w:ind w:firstLine="0" w:firstLineChars="0"/>
      <w:jc w:val="right"/>
    </w:pPr>
    <w:rPr>
      <w:rFonts w:ascii="宋体" w:hAnsi="宋体" w:cs="宋体"/>
      <w:kern w:val="0"/>
    </w:rPr>
  </w:style>
  <w:style w:type="paragraph" w:customStyle="1" w:styleId="334">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335">
    <w:name w:val="xl66"/>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3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3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33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kern w:val="0"/>
    </w:rPr>
  </w:style>
  <w:style w:type="paragraph" w:customStyle="1" w:styleId="33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rPr>
  </w:style>
  <w:style w:type="paragraph" w:customStyle="1" w:styleId="34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rPr>
  </w:style>
  <w:style w:type="paragraph" w:customStyle="1" w:styleId="34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cs="宋体"/>
      <w:kern w:val="0"/>
    </w:rPr>
  </w:style>
  <w:style w:type="paragraph" w:customStyle="1" w:styleId="3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rFonts w:ascii="宋体" w:hAnsi="宋体" w:cs="宋体"/>
      <w:kern w:val="0"/>
    </w:rPr>
  </w:style>
  <w:style w:type="paragraph" w:customStyle="1" w:styleId="34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rPr>
  </w:style>
  <w:style w:type="paragraph" w:customStyle="1" w:styleId="34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rFonts w:ascii="宋体" w:hAnsi="宋体" w:cs="宋体"/>
      <w:color w:val="FF0000"/>
      <w:kern w:val="0"/>
    </w:rPr>
  </w:style>
  <w:style w:type="paragraph" w:customStyle="1" w:styleId="34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cs="宋体"/>
      <w:color w:val="FF0000"/>
      <w:kern w:val="0"/>
    </w:rPr>
  </w:style>
  <w:style w:type="paragraph" w:customStyle="1" w:styleId="34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kern w:val="0"/>
    </w:rPr>
  </w:style>
  <w:style w:type="paragraph" w:customStyle="1" w:styleId="34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kern w:val="0"/>
    </w:rPr>
  </w:style>
  <w:style w:type="paragraph" w:customStyle="1" w:styleId="34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color w:val="FF0000"/>
      <w:kern w:val="0"/>
    </w:rPr>
  </w:style>
  <w:style w:type="paragraph" w:customStyle="1" w:styleId="34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kern w:val="0"/>
    </w:rPr>
  </w:style>
  <w:style w:type="paragraph" w:customStyle="1" w:styleId="35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rPr>
  </w:style>
  <w:style w:type="paragraph" w:customStyle="1" w:styleId="35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kern w:val="0"/>
    </w:rPr>
  </w:style>
  <w:style w:type="paragraph" w:customStyle="1" w:styleId="35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353">
    <w:name w:val="CM5"/>
    <w:basedOn w:val="1"/>
    <w:next w:val="1"/>
    <w:qFormat/>
    <w:uiPriority w:val="0"/>
    <w:pPr>
      <w:autoSpaceDE w:val="0"/>
      <w:autoSpaceDN w:val="0"/>
      <w:adjustRightInd w:val="0"/>
      <w:spacing w:after="138" w:line="240" w:lineRule="auto"/>
      <w:ind w:firstLine="0" w:firstLineChars="0"/>
      <w:jc w:val="left"/>
    </w:pPr>
    <w:rPr>
      <w:rFonts w:ascii="CMKAI G+ Futura" w:hAnsi="Calibri" w:eastAsia="CMKAI G+ Futura"/>
      <w:kern w:val="0"/>
    </w:rPr>
  </w:style>
  <w:style w:type="paragraph" w:customStyle="1" w:styleId="354">
    <w:name w:val="样式 标题 2第一层条第二层论文标题 1H2Heading 2 HiddenHeading 2 CCBSPIM2...1"/>
    <w:basedOn w:val="3"/>
    <w:qFormat/>
    <w:uiPriority w:val="0"/>
    <w:pPr>
      <w:keepLines w:val="0"/>
      <w:widowControl w:val="0"/>
      <w:numPr>
        <w:numId w:val="0"/>
      </w:numPr>
      <w:tabs>
        <w:tab w:val="left" w:pos="425"/>
      </w:tabs>
      <w:adjustRightInd w:val="0"/>
      <w:snapToGrid w:val="0"/>
      <w:spacing w:before="312"/>
      <w:ind w:left="425" w:hanging="425"/>
      <w:jc w:val="both"/>
      <w:textAlignment w:val="baseline"/>
    </w:pPr>
    <w:rPr>
      <w:rFonts w:ascii="方正黑体_GBK" w:hAnsi="Arial Rounded MT Bold" w:eastAsia="方正黑体_GBK" w:cs="宋体"/>
      <w:bCs w:val="0"/>
      <w:spacing w:val="8"/>
      <w:kern w:val="0"/>
      <w:szCs w:val="20"/>
    </w:rPr>
  </w:style>
  <w:style w:type="paragraph" w:customStyle="1" w:styleId="355">
    <w:name w:val="样式 标题 1h1H1PIM 1标书1章标题 1-*+1st levelSection Headl1L1 H..."/>
    <w:basedOn w:val="2"/>
    <w:link w:val="356"/>
    <w:qFormat/>
    <w:uiPriority w:val="0"/>
    <w:pPr>
      <w:pageBreakBefore w:val="0"/>
      <w:widowControl w:val="0"/>
      <w:numPr>
        <w:numId w:val="0"/>
      </w:numPr>
      <w:tabs>
        <w:tab w:val="left" w:pos="425"/>
      </w:tabs>
      <w:adjustRightInd w:val="0"/>
      <w:spacing w:before="156" w:after="156"/>
      <w:ind w:left="425" w:hanging="425"/>
      <w:textAlignment w:val="baseline"/>
    </w:pPr>
    <w:rPr>
      <w:rFonts w:ascii="文鼎CS大隶书" w:hAnsi="文鼎CS大隶书" w:eastAsia="方正大标宋简体"/>
      <w:spacing w:val="8"/>
      <w:kern w:val="0"/>
      <w:sz w:val="48"/>
      <w:szCs w:val="20"/>
      <w:lang w:val="zh-CN"/>
    </w:rPr>
  </w:style>
  <w:style w:type="character" w:customStyle="1" w:styleId="356">
    <w:name w:val="样式 标题 1h1H1PIM 1标书1章标题 1-*+1st levelSection Headl1L1 H... Char"/>
    <w:link w:val="355"/>
    <w:qFormat/>
    <w:uiPriority w:val="0"/>
    <w:rPr>
      <w:rFonts w:ascii="文鼎CS大隶书" w:hAnsi="文鼎CS大隶书" w:eastAsia="方正大标宋简体" w:cs="Times New Roman"/>
      <w:b/>
      <w:bCs/>
      <w:spacing w:val="8"/>
      <w:kern w:val="0"/>
      <w:sz w:val="48"/>
      <w:szCs w:val="20"/>
      <w:lang w:val="zh-CN" w:eastAsia="zh-CN"/>
    </w:rPr>
  </w:style>
  <w:style w:type="paragraph" w:customStyle="1" w:styleId="357">
    <w:name w:val="样式 标题 2第一层条第二层论文标题 1H2Heading 2 HiddenHeading 2 CCBSPIM2..."/>
    <w:basedOn w:val="1"/>
    <w:qFormat/>
    <w:uiPriority w:val="0"/>
    <w:pPr>
      <w:numPr>
        <w:ilvl w:val="1"/>
        <w:numId w:val="21"/>
      </w:numPr>
      <w:adjustRightInd w:val="0"/>
      <w:spacing w:line="400" w:lineRule="exact"/>
      <w:ind w:firstLine="0" w:firstLineChars="0"/>
      <w:textAlignment w:val="baseline"/>
    </w:pPr>
    <w:rPr>
      <w:rFonts w:eastAsia="方正仿宋_GBK"/>
      <w:spacing w:val="8"/>
      <w:kern w:val="0"/>
      <w:sz w:val="28"/>
      <w:szCs w:val="20"/>
    </w:rPr>
  </w:style>
  <w:style w:type="paragraph" w:customStyle="1" w:styleId="358">
    <w:name w:val="样式 标题 4bulletblbbPIM 4H4h4Heading Foursect 1.2.3.4Ref H..."/>
    <w:basedOn w:val="5"/>
    <w:link w:val="359"/>
    <w:qFormat/>
    <w:uiPriority w:val="0"/>
    <w:pPr>
      <w:keepNext w:val="0"/>
      <w:widowControl w:val="0"/>
      <w:numPr>
        <w:ilvl w:val="0"/>
        <w:numId w:val="0"/>
      </w:numPr>
      <w:tabs>
        <w:tab w:val="left" w:pos="2356"/>
      </w:tabs>
      <w:adjustRightInd w:val="0"/>
      <w:spacing w:before="60" w:after="60" w:line="400" w:lineRule="exact"/>
      <w:ind w:left="1984" w:hanging="708"/>
      <w:jc w:val="both"/>
      <w:textAlignment w:val="baseline"/>
    </w:pPr>
    <w:rPr>
      <w:rFonts w:eastAsia="文鼎CS细等线"/>
      <w:color w:val="000000"/>
      <w:spacing w:val="8"/>
      <w:kern w:val="0"/>
      <w:szCs w:val="20"/>
      <w:lang w:val="zh-CN"/>
    </w:rPr>
  </w:style>
  <w:style w:type="character" w:customStyle="1" w:styleId="359">
    <w:name w:val="样式 标题 4bulletblbbPIM 4H4h4Heading Foursect 1.2.3.4Ref H... Char Char"/>
    <w:link w:val="358"/>
    <w:qFormat/>
    <w:uiPriority w:val="0"/>
    <w:rPr>
      <w:rFonts w:ascii="Times New Roman" w:hAnsi="Times New Roman" w:eastAsia="文鼎CS细等线" w:cs="Times New Roman"/>
      <w:b/>
      <w:bCs/>
      <w:color w:val="000000"/>
      <w:spacing w:val="8"/>
      <w:kern w:val="0"/>
      <w:sz w:val="28"/>
      <w:szCs w:val="20"/>
      <w:lang w:val="zh-CN" w:eastAsia="zh-CN"/>
    </w:rPr>
  </w:style>
  <w:style w:type="paragraph" w:customStyle="1" w:styleId="360">
    <w:name w:val="Char3"/>
    <w:basedOn w:val="23"/>
    <w:qFormat/>
    <w:uiPriority w:val="0"/>
    <w:pPr>
      <w:adjustRightInd w:val="0"/>
      <w:snapToGrid w:val="0"/>
      <w:spacing w:line="360" w:lineRule="auto"/>
    </w:pPr>
    <w:rPr>
      <w:rFonts w:ascii="Tahoma" w:hAnsi="Tahoma"/>
      <w:sz w:val="24"/>
    </w:rPr>
  </w:style>
  <w:style w:type="paragraph" w:customStyle="1" w:styleId="361">
    <w:name w:val="Char Char Char Char Char Char Char1"/>
    <w:basedOn w:val="23"/>
    <w:qFormat/>
    <w:uiPriority w:val="0"/>
    <w:pPr>
      <w:adjustRightInd w:val="0"/>
      <w:snapToGrid w:val="0"/>
      <w:spacing w:line="360" w:lineRule="auto"/>
    </w:pPr>
    <w:rPr>
      <w:rFonts w:ascii="Tahoma" w:hAnsi="Tahoma"/>
      <w:sz w:val="24"/>
    </w:rPr>
  </w:style>
  <w:style w:type="paragraph" w:customStyle="1" w:styleId="362">
    <w:name w:val="文字"/>
    <w:basedOn w:val="1"/>
    <w:qFormat/>
    <w:uiPriority w:val="0"/>
    <w:pPr>
      <w:tabs>
        <w:tab w:val="left" w:pos="8520"/>
      </w:tabs>
      <w:spacing w:line="312" w:lineRule="auto"/>
      <w:ind w:right="-210" w:firstLine="556" w:firstLineChars="0"/>
    </w:pPr>
    <w:rPr>
      <w:rFonts w:ascii="宋体"/>
      <w:sz w:val="28"/>
      <w:szCs w:val="20"/>
    </w:rPr>
  </w:style>
  <w:style w:type="character" w:customStyle="1" w:styleId="363">
    <w:name w:val="二级目录 Char Char"/>
    <w:link w:val="364"/>
    <w:qFormat/>
    <w:uiPriority w:val="0"/>
    <w:rPr>
      <w:b/>
      <w:kern w:val="2"/>
      <w:sz w:val="30"/>
      <w:szCs w:val="28"/>
    </w:rPr>
  </w:style>
  <w:style w:type="paragraph" w:customStyle="1" w:styleId="364">
    <w:name w:val="二级目录"/>
    <w:next w:val="1"/>
    <w:link w:val="363"/>
    <w:qFormat/>
    <w:uiPriority w:val="0"/>
    <w:pPr>
      <w:numPr>
        <w:ilvl w:val="0"/>
        <w:numId w:val="22"/>
      </w:numPr>
      <w:outlineLvl w:val="1"/>
    </w:pPr>
    <w:rPr>
      <w:rFonts w:asciiTheme="minorHAnsi" w:hAnsiTheme="minorHAnsi" w:eastAsiaTheme="minorEastAsia" w:cstheme="minorBidi"/>
      <w:b/>
      <w:kern w:val="2"/>
      <w:sz w:val="30"/>
      <w:szCs w:val="28"/>
      <w:lang w:val="en-US" w:eastAsia="zh-CN" w:bidi="ar-SA"/>
    </w:rPr>
  </w:style>
  <w:style w:type="paragraph" w:customStyle="1" w:styleId="365">
    <w:name w:val="三级目录"/>
    <w:next w:val="1"/>
    <w:qFormat/>
    <w:uiPriority w:val="0"/>
    <w:pPr>
      <w:ind w:firstLine="420" w:firstLineChars="150"/>
    </w:pPr>
    <w:rPr>
      <w:rFonts w:ascii="Times New Roman" w:hAnsi="Times New Roman" w:eastAsia="宋体" w:cs="Times New Roman"/>
      <w:b/>
      <w:bCs/>
      <w:kern w:val="2"/>
      <w:sz w:val="24"/>
      <w:szCs w:val="24"/>
      <w:lang w:val="en-US" w:eastAsia="zh-CN" w:bidi="ar-SA"/>
    </w:rPr>
  </w:style>
  <w:style w:type="paragraph" w:customStyle="1" w:styleId="366">
    <w:name w:val="一级目录"/>
    <w:next w:val="1"/>
    <w:qFormat/>
    <w:uiPriority w:val="0"/>
    <w:pPr>
      <w:spacing w:afterLines="100"/>
      <w:jc w:val="center"/>
      <w:outlineLvl w:val="0"/>
    </w:pPr>
    <w:rPr>
      <w:rFonts w:ascii="黑体" w:hAnsi="Times New Roman" w:eastAsia="黑体" w:cs="Times New Roman"/>
      <w:b/>
      <w:kern w:val="2"/>
      <w:sz w:val="44"/>
      <w:szCs w:val="44"/>
      <w:lang w:val="en-US" w:eastAsia="zh-CN" w:bidi="ar-SA"/>
    </w:rPr>
  </w:style>
  <w:style w:type="paragraph" w:customStyle="1" w:styleId="367">
    <w:name w:val="正文 New New New New New New New New New New New New New New New New New New"/>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368">
    <w:name w:val="正文1"/>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character" w:customStyle="1" w:styleId="369">
    <w:name w:val="ca-71"/>
    <w:qFormat/>
    <w:uiPriority w:val="0"/>
    <w:rPr>
      <w:rFonts w:hint="eastAsia" w:ascii="宋体" w:hAnsi="宋体" w:eastAsia="宋体"/>
      <w:sz w:val="21"/>
      <w:szCs w:val="21"/>
    </w:rPr>
  </w:style>
  <w:style w:type="character" w:customStyle="1" w:styleId="370">
    <w:name w:val="样式 首行缩进:  2 字符 Char"/>
    <w:link w:val="270"/>
    <w:qFormat/>
    <w:uiPriority w:val="0"/>
    <w:rPr>
      <w:rFonts w:ascii="Times New Roman" w:hAnsi="Times New Roman" w:eastAsia="仿宋_GB2312" w:cs="Times New Roman"/>
      <w:sz w:val="28"/>
      <w:szCs w:val="28"/>
      <w:lang w:val="zh-CN" w:eastAsia="zh-CN"/>
    </w:rPr>
  </w:style>
  <w:style w:type="paragraph" w:customStyle="1" w:styleId="37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2">
    <w:name w:val="正文缩进1"/>
    <w:basedOn w:val="1"/>
    <w:next w:val="30"/>
    <w:qFormat/>
    <w:uiPriority w:val="0"/>
    <w:pPr>
      <w:autoSpaceDE w:val="0"/>
      <w:autoSpaceDN w:val="0"/>
      <w:adjustRightInd w:val="0"/>
      <w:snapToGrid w:val="0"/>
      <w:spacing w:after="120"/>
      <w:ind w:left="200" w:leftChars="200"/>
    </w:pPr>
    <w:rPr>
      <w:szCs w:val="21"/>
    </w:rPr>
  </w:style>
  <w:style w:type="paragraph" w:customStyle="1" w:styleId="373">
    <w:name w:val="正文缩进2格"/>
    <w:basedOn w:val="1"/>
    <w:link w:val="374"/>
    <w:qFormat/>
    <w:uiPriority w:val="0"/>
    <w:pPr>
      <w:spacing w:line="600" w:lineRule="exact"/>
      <w:ind w:firstLine="639" w:firstLineChars="206"/>
    </w:pPr>
    <w:rPr>
      <w:rFonts w:ascii="仿宋_GB2312" w:hAnsi="宋体" w:eastAsia="仿宋_GB2312"/>
      <w:sz w:val="31"/>
      <w:szCs w:val="28"/>
      <w:lang w:val="zh-CN"/>
    </w:rPr>
  </w:style>
  <w:style w:type="character" w:customStyle="1" w:styleId="374">
    <w:name w:val="正文缩进2格 Char"/>
    <w:link w:val="373"/>
    <w:qFormat/>
    <w:uiPriority w:val="0"/>
    <w:rPr>
      <w:rFonts w:ascii="仿宋_GB2312" w:hAnsi="宋体" w:eastAsia="仿宋_GB2312" w:cs="Times New Roman"/>
      <w:sz w:val="31"/>
      <w:szCs w:val="28"/>
      <w:lang w:val="zh-CN" w:eastAsia="zh-CN"/>
    </w:rPr>
  </w:style>
  <w:style w:type="character" w:customStyle="1" w:styleId="375">
    <w:name w:val="s_hui14"/>
    <w:basedOn w:val="85"/>
    <w:qFormat/>
    <w:uiPriority w:val="0"/>
  </w:style>
  <w:style w:type="table" w:customStyle="1" w:styleId="376">
    <w:name w:val="网格型2"/>
    <w:basedOn w:val="77"/>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77">
    <w:name w:val="前言、引言标题"/>
    <w:next w:val="1"/>
    <w:qFormat/>
    <w:uiPriority w:val="0"/>
    <w:pPr>
      <w:numPr>
        <w:ilvl w:val="0"/>
        <w:numId w:val="2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9">
    <w:name w:val="章标题"/>
    <w:next w:val="378"/>
    <w:qFormat/>
    <w:uiPriority w:val="0"/>
    <w:pPr>
      <w:numPr>
        <w:ilvl w:val="1"/>
        <w:numId w:val="23"/>
      </w:numPr>
      <w:spacing w:beforeLines="50" w:afterLines="50"/>
      <w:jc w:val="both"/>
      <w:outlineLvl w:val="1"/>
    </w:pPr>
    <w:rPr>
      <w:rFonts w:ascii="黑体" w:hAnsi="Times New Roman" w:eastAsia="黑体" w:cs="Times New Roman"/>
      <w:sz w:val="21"/>
      <w:lang w:val="en-US" w:eastAsia="zh-CN" w:bidi="ar-SA"/>
    </w:rPr>
  </w:style>
  <w:style w:type="paragraph" w:customStyle="1" w:styleId="380">
    <w:name w:val="一级条标题"/>
    <w:basedOn w:val="379"/>
    <w:next w:val="378"/>
    <w:qFormat/>
    <w:uiPriority w:val="0"/>
    <w:pPr>
      <w:numPr>
        <w:ilvl w:val="2"/>
      </w:numPr>
      <w:spacing w:beforeLines="0" w:afterLines="0"/>
      <w:outlineLvl w:val="2"/>
    </w:pPr>
  </w:style>
  <w:style w:type="paragraph" w:customStyle="1" w:styleId="381">
    <w:name w:val="二级条标题"/>
    <w:basedOn w:val="380"/>
    <w:next w:val="378"/>
    <w:qFormat/>
    <w:uiPriority w:val="0"/>
    <w:pPr>
      <w:numPr>
        <w:ilvl w:val="3"/>
      </w:numPr>
      <w:outlineLvl w:val="3"/>
    </w:pPr>
  </w:style>
  <w:style w:type="paragraph" w:customStyle="1" w:styleId="382">
    <w:name w:val="三级条标题"/>
    <w:basedOn w:val="381"/>
    <w:next w:val="378"/>
    <w:qFormat/>
    <w:uiPriority w:val="0"/>
    <w:pPr>
      <w:numPr>
        <w:ilvl w:val="4"/>
      </w:numPr>
      <w:outlineLvl w:val="4"/>
    </w:pPr>
  </w:style>
  <w:style w:type="paragraph" w:customStyle="1" w:styleId="383">
    <w:name w:val="四级条标题"/>
    <w:basedOn w:val="382"/>
    <w:next w:val="378"/>
    <w:qFormat/>
    <w:uiPriority w:val="0"/>
    <w:pPr>
      <w:numPr>
        <w:ilvl w:val="5"/>
      </w:numPr>
      <w:outlineLvl w:val="5"/>
    </w:pPr>
  </w:style>
  <w:style w:type="paragraph" w:customStyle="1" w:styleId="384">
    <w:name w:val="五级条标题"/>
    <w:basedOn w:val="383"/>
    <w:next w:val="378"/>
    <w:qFormat/>
    <w:uiPriority w:val="0"/>
    <w:pPr>
      <w:numPr>
        <w:ilvl w:val="6"/>
      </w:numPr>
      <w:outlineLvl w:val="6"/>
    </w:pPr>
  </w:style>
  <w:style w:type="paragraph" w:customStyle="1" w:styleId="385">
    <w:name w:val="附录标识"/>
    <w:basedOn w:val="377"/>
    <w:qFormat/>
    <w:uiPriority w:val="0"/>
    <w:pPr>
      <w:numPr>
        <w:ilvl w:val="0"/>
        <w:numId w:val="24"/>
      </w:numPr>
      <w:tabs>
        <w:tab w:val="left" w:pos="6405"/>
      </w:tabs>
      <w:spacing w:after="200"/>
    </w:pPr>
    <w:rPr>
      <w:sz w:val="21"/>
    </w:rPr>
  </w:style>
  <w:style w:type="paragraph" w:customStyle="1" w:styleId="386">
    <w:name w:val="附录章标题"/>
    <w:next w:val="378"/>
    <w:qFormat/>
    <w:uiPriority w:val="0"/>
    <w:pPr>
      <w:numPr>
        <w:ilvl w:val="1"/>
        <w:numId w:val="24"/>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87">
    <w:name w:val="附录一级条标题"/>
    <w:basedOn w:val="386"/>
    <w:next w:val="378"/>
    <w:qFormat/>
    <w:uiPriority w:val="0"/>
    <w:pPr>
      <w:numPr>
        <w:ilvl w:val="2"/>
      </w:numPr>
      <w:autoSpaceDN w:val="0"/>
      <w:spacing w:beforeLines="0" w:afterLines="0"/>
      <w:outlineLvl w:val="2"/>
    </w:pPr>
  </w:style>
  <w:style w:type="paragraph" w:customStyle="1" w:styleId="388">
    <w:name w:val="附录二级条标题"/>
    <w:basedOn w:val="387"/>
    <w:next w:val="378"/>
    <w:qFormat/>
    <w:uiPriority w:val="0"/>
    <w:pPr>
      <w:numPr>
        <w:ilvl w:val="3"/>
      </w:numPr>
      <w:tabs>
        <w:tab w:val="left" w:pos="360"/>
      </w:tabs>
      <w:outlineLvl w:val="3"/>
    </w:pPr>
  </w:style>
  <w:style w:type="paragraph" w:customStyle="1" w:styleId="389">
    <w:name w:val="附录三级条标题"/>
    <w:basedOn w:val="388"/>
    <w:next w:val="378"/>
    <w:qFormat/>
    <w:uiPriority w:val="0"/>
    <w:pPr>
      <w:numPr>
        <w:ilvl w:val="4"/>
      </w:numPr>
      <w:outlineLvl w:val="4"/>
    </w:pPr>
  </w:style>
  <w:style w:type="paragraph" w:customStyle="1" w:styleId="390">
    <w:name w:val="附录四级条标题"/>
    <w:basedOn w:val="389"/>
    <w:next w:val="378"/>
    <w:qFormat/>
    <w:uiPriority w:val="0"/>
    <w:pPr>
      <w:numPr>
        <w:ilvl w:val="5"/>
      </w:numPr>
      <w:outlineLvl w:val="5"/>
    </w:pPr>
  </w:style>
  <w:style w:type="paragraph" w:customStyle="1" w:styleId="391">
    <w:name w:val="附录五级条标题"/>
    <w:basedOn w:val="390"/>
    <w:next w:val="378"/>
    <w:qFormat/>
    <w:uiPriority w:val="0"/>
    <w:pPr>
      <w:numPr>
        <w:ilvl w:val="6"/>
      </w:numPr>
      <w:outlineLvl w:val="6"/>
    </w:pPr>
  </w:style>
  <w:style w:type="paragraph" w:customStyle="1" w:styleId="392">
    <w:name w:val="正文样式2"/>
    <w:basedOn w:val="1"/>
    <w:qFormat/>
    <w:uiPriority w:val="0"/>
    <w:pPr>
      <w:spacing w:before="156" w:after="156"/>
      <w:ind w:firstLine="420"/>
    </w:pPr>
    <w:rPr>
      <w:rFonts w:eastAsia="楷体_GB2312"/>
    </w:rPr>
  </w:style>
  <w:style w:type="paragraph" w:customStyle="1" w:styleId="393">
    <w:name w:val="样式 样式 标题 2 + 宋体 小四 + 行距: 1.5 倍行距"/>
    <w:basedOn w:val="1"/>
    <w:qFormat/>
    <w:uiPriority w:val="0"/>
    <w:pPr>
      <w:keepNext/>
      <w:keepLines/>
      <w:spacing w:before="260" w:after="260"/>
      <w:outlineLvl w:val="1"/>
    </w:pPr>
    <w:rPr>
      <w:rFonts w:ascii="宋体" w:hAnsi="宋体" w:cs="宋体"/>
      <w:b/>
      <w:bCs/>
      <w:szCs w:val="20"/>
    </w:rPr>
  </w:style>
  <w:style w:type="paragraph" w:customStyle="1" w:styleId="394">
    <w:name w:val="二级节标题"/>
    <w:basedOn w:val="1"/>
    <w:qFormat/>
    <w:uiPriority w:val="0"/>
    <w:rPr>
      <w:rFonts w:ascii="Calibri" w:hAnsi="Calibri"/>
      <w:szCs w:val="22"/>
    </w:rPr>
  </w:style>
  <w:style w:type="paragraph" w:customStyle="1" w:styleId="395">
    <w:name w:val="CM37"/>
    <w:basedOn w:val="140"/>
    <w:next w:val="140"/>
    <w:qFormat/>
    <w:uiPriority w:val="99"/>
    <w:rPr>
      <w:rFonts w:hAnsi="Calibri"/>
      <w:color w:val="auto"/>
    </w:rPr>
  </w:style>
  <w:style w:type="paragraph" w:customStyle="1" w:styleId="396">
    <w:name w:val="CM40"/>
    <w:basedOn w:val="140"/>
    <w:next w:val="140"/>
    <w:qFormat/>
    <w:uiPriority w:val="99"/>
    <w:rPr>
      <w:rFonts w:hAnsi="Calibri"/>
      <w:color w:val="auto"/>
    </w:rPr>
  </w:style>
  <w:style w:type="paragraph" w:customStyle="1" w:styleId="397">
    <w:name w:val="CM59"/>
    <w:basedOn w:val="140"/>
    <w:next w:val="140"/>
    <w:qFormat/>
    <w:uiPriority w:val="99"/>
    <w:rPr>
      <w:rFonts w:hAnsi="Calibri"/>
      <w:color w:val="auto"/>
    </w:rPr>
  </w:style>
  <w:style w:type="paragraph" w:customStyle="1" w:styleId="398">
    <w:name w:val="CM60"/>
    <w:basedOn w:val="140"/>
    <w:next w:val="140"/>
    <w:qFormat/>
    <w:uiPriority w:val="99"/>
    <w:rPr>
      <w:rFonts w:hAnsi="Calibri"/>
      <w:color w:val="auto"/>
    </w:rPr>
  </w:style>
  <w:style w:type="paragraph" w:customStyle="1" w:styleId="399">
    <w:name w:val="CM3"/>
    <w:basedOn w:val="140"/>
    <w:next w:val="140"/>
    <w:qFormat/>
    <w:uiPriority w:val="99"/>
    <w:pPr>
      <w:spacing w:line="313" w:lineRule="atLeast"/>
    </w:pPr>
    <w:rPr>
      <w:rFonts w:hAnsi="Calibri"/>
      <w:color w:val="auto"/>
    </w:rPr>
  </w:style>
  <w:style w:type="paragraph" w:customStyle="1" w:styleId="400">
    <w:name w:val="CM4"/>
    <w:basedOn w:val="140"/>
    <w:next w:val="140"/>
    <w:qFormat/>
    <w:uiPriority w:val="99"/>
    <w:pPr>
      <w:spacing w:line="308" w:lineRule="atLeast"/>
    </w:pPr>
    <w:rPr>
      <w:rFonts w:hAnsi="Calibri"/>
      <w:color w:val="auto"/>
    </w:rPr>
  </w:style>
  <w:style w:type="paragraph" w:customStyle="1" w:styleId="401">
    <w:name w:val="CM7"/>
    <w:basedOn w:val="140"/>
    <w:next w:val="140"/>
    <w:qFormat/>
    <w:uiPriority w:val="99"/>
    <w:pPr>
      <w:spacing w:line="311" w:lineRule="atLeast"/>
    </w:pPr>
    <w:rPr>
      <w:rFonts w:hAnsi="Calibri"/>
      <w:color w:val="auto"/>
    </w:rPr>
  </w:style>
  <w:style w:type="paragraph" w:customStyle="1" w:styleId="402">
    <w:name w:val="CM11"/>
    <w:basedOn w:val="140"/>
    <w:next w:val="140"/>
    <w:qFormat/>
    <w:uiPriority w:val="99"/>
    <w:pPr>
      <w:spacing w:line="316" w:lineRule="atLeast"/>
    </w:pPr>
    <w:rPr>
      <w:rFonts w:hAnsi="Calibri"/>
      <w:color w:val="auto"/>
    </w:rPr>
  </w:style>
  <w:style w:type="paragraph" w:customStyle="1" w:styleId="403">
    <w:name w:val="CM13"/>
    <w:basedOn w:val="140"/>
    <w:next w:val="140"/>
    <w:qFormat/>
    <w:uiPriority w:val="99"/>
    <w:pPr>
      <w:spacing w:line="313" w:lineRule="atLeast"/>
    </w:pPr>
    <w:rPr>
      <w:rFonts w:hAnsi="Calibri"/>
      <w:color w:val="auto"/>
    </w:rPr>
  </w:style>
  <w:style w:type="paragraph" w:customStyle="1" w:styleId="404">
    <w:name w:val="CM52"/>
    <w:basedOn w:val="140"/>
    <w:next w:val="140"/>
    <w:qFormat/>
    <w:uiPriority w:val="99"/>
    <w:rPr>
      <w:rFonts w:hAnsi="Calibri"/>
      <w:color w:val="auto"/>
    </w:rPr>
  </w:style>
  <w:style w:type="paragraph" w:customStyle="1" w:styleId="405">
    <w:name w:val="CM53"/>
    <w:basedOn w:val="140"/>
    <w:next w:val="140"/>
    <w:qFormat/>
    <w:uiPriority w:val="99"/>
    <w:rPr>
      <w:rFonts w:hAnsi="Calibri"/>
      <w:color w:val="auto"/>
    </w:rPr>
  </w:style>
  <w:style w:type="paragraph" w:customStyle="1" w:styleId="406">
    <w:name w:val="CM2"/>
    <w:basedOn w:val="140"/>
    <w:next w:val="140"/>
    <w:qFormat/>
    <w:uiPriority w:val="99"/>
    <w:pPr>
      <w:spacing w:line="313" w:lineRule="atLeast"/>
    </w:pPr>
    <w:rPr>
      <w:rFonts w:hAnsi="Calibri"/>
      <w:color w:val="auto"/>
    </w:rPr>
  </w:style>
  <w:style w:type="paragraph" w:customStyle="1" w:styleId="407">
    <w:name w:val="CM10"/>
    <w:basedOn w:val="140"/>
    <w:next w:val="140"/>
    <w:qFormat/>
    <w:uiPriority w:val="99"/>
    <w:pPr>
      <w:spacing w:line="313" w:lineRule="atLeast"/>
    </w:pPr>
    <w:rPr>
      <w:rFonts w:hAnsi="Calibri"/>
      <w:color w:val="auto"/>
    </w:rPr>
  </w:style>
  <w:style w:type="paragraph" w:customStyle="1" w:styleId="408">
    <w:name w:val="CM12"/>
    <w:basedOn w:val="140"/>
    <w:next w:val="140"/>
    <w:qFormat/>
    <w:uiPriority w:val="99"/>
    <w:pPr>
      <w:spacing w:line="311" w:lineRule="atLeast"/>
    </w:pPr>
    <w:rPr>
      <w:rFonts w:hAnsi="Calibri"/>
      <w:color w:val="auto"/>
    </w:rPr>
  </w:style>
  <w:style w:type="paragraph" w:customStyle="1" w:styleId="409">
    <w:name w:val="CM57"/>
    <w:basedOn w:val="140"/>
    <w:next w:val="140"/>
    <w:qFormat/>
    <w:uiPriority w:val="99"/>
    <w:rPr>
      <w:rFonts w:hAnsi="Calibri"/>
      <w:color w:val="auto"/>
    </w:rPr>
  </w:style>
  <w:style w:type="paragraph" w:customStyle="1" w:styleId="410">
    <w:name w:val="CM16"/>
    <w:basedOn w:val="140"/>
    <w:next w:val="140"/>
    <w:qFormat/>
    <w:uiPriority w:val="99"/>
    <w:pPr>
      <w:spacing w:line="313" w:lineRule="atLeast"/>
    </w:pPr>
    <w:rPr>
      <w:rFonts w:hAnsi="Calibri"/>
      <w:color w:val="auto"/>
    </w:rPr>
  </w:style>
  <w:style w:type="paragraph" w:customStyle="1" w:styleId="411">
    <w:name w:val="CM17"/>
    <w:basedOn w:val="140"/>
    <w:next w:val="140"/>
    <w:qFormat/>
    <w:uiPriority w:val="99"/>
    <w:pPr>
      <w:spacing w:line="313" w:lineRule="atLeast"/>
    </w:pPr>
    <w:rPr>
      <w:rFonts w:hAnsi="Calibri"/>
      <w:color w:val="auto"/>
    </w:rPr>
  </w:style>
  <w:style w:type="paragraph" w:customStyle="1" w:styleId="412">
    <w:name w:val="CM20"/>
    <w:basedOn w:val="140"/>
    <w:next w:val="140"/>
    <w:qFormat/>
    <w:uiPriority w:val="99"/>
    <w:pPr>
      <w:spacing w:line="313" w:lineRule="atLeast"/>
    </w:pPr>
    <w:rPr>
      <w:rFonts w:hAnsi="Calibri"/>
      <w:color w:val="auto"/>
    </w:rPr>
  </w:style>
  <w:style w:type="paragraph" w:customStyle="1" w:styleId="413">
    <w:name w:val="CM22"/>
    <w:basedOn w:val="140"/>
    <w:next w:val="140"/>
    <w:qFormat/>
    <w:uiPriority w:val="99"/>
    <w:pPr>
      <w:spacing w:line="313" w:lineRule="atLeast"/>
    </w:pPr>
    <w:rPr>
      <w:rFonts w:hAnsi="Calibri"/>
      <w:color w:val="auto"/>
    </w:rPr>
  </w:style>
  <w:style w:type="paragraph" w:customStyle="1" w:styleId="414">
    <w:name w:val="bz_正文缩进"/>
    <w:basedOn w:val="19"/>
    <w:qFormat/>
    <w:uiPriority w:val="0"/>
    <w:pPr>
      <w:spacing w:line="360" w:lineRule="auto"/>
      <w:ind w:left="479" w:leftChars="228" w:firstLine="540" w:firstLineChars="225"/>
    </w:pPr>
    <w:rPr>
      <w:rFonts w:ascii="宋体" w:hAnsi="宋体" w:cs="宋体"/>
      <w:sz w:val="24"/>
      <w:lang w:val="zh-CN"/>
    </w:rPr>
  </w:style>
  <w:style w:type="paragraph" w:customStyle="1" w:styleId="415">
    <w:name w:val="bz_标题 2"/>
    <w:basedOn w:val="3"/>
    <w:link w:val="419"/>
    <w:qFormat/>
    <w:uiPriority w:val="0"/>
    <w:pPr>
      <w:widowControl w:val="0"/>
      <w:numPr>
        <w:ilvl w:val="0"/>
        <w:numId w:val="0"/>
      </w:numPr>
      <w:spacing w:line="300" w:lineRule="auto"/>
      <w:ind w:left="142"/>
    </w:pPr>
    <w:rPr>
      <w:rFonts w:ascii="Arial" w:hAnsi="Arial"/>
      <w:szCs w:val="20"/>
      <w:lang w:val="zh-CN"/>
    </w:rPr>
  </w:style>
  <w:style w:type="paragraph" w:customStyle="1" w:styleId="416">
    <w:name w:val="bz_标题 3 _"/>
    <w:basedOn w:val="4"/>
    <w:link w:val="418"/>
    <w:qFormat/>
    <w:uiPriority w:val="0"/>
    <w:pPr>
      <w:widowControl w:val="0"/>
      <w:numPr>
        <w:ilvl w:val="0"/>
        <w:numId w:val="0"/>
      </w:numPr>
      <w:spacing w:line="360" w:lineRule="auto"/>
    </w:pPr>
    <w:rPr>
      <w:rFonts w:ascii="宋体" w:hAnsi="宋体"/>
      <w:bCs w:val="0"/>
      <w:szCs w:val="20"/>
      <w:lang w:val="zh-CN"/>
    </w:rPr>
  </w:style>
  <w:style w:type="character" w:customStyle="1" w:styleId="417">
    <w:name w:val="标题3 Char"/>
    <w:qFormat/>
    <w:uiPriority w:val="0"/>
    <w:rPr>
      <w:rFonts w:ascii="方正黑体_GBK" w:hAnsi="Times New Roman" w:eastAsia="方正黑体_GBK" w:cs="Times New Roman"/>
      <w:snapToGrid w:val="0"/>
      <w:kern w:val="0"/>
      <w:sz w:val="32"/>
      <w:szCs w:val="32"/>
    </w:rPr>
  </w:style>
  <w:style w:type="character" w:customStyle="1" w:styleId="418">
    <w:name w:val="bz_标题 3 _ Char"/>
    <w:link w:val="416"/>
    <w:qFormat/>
    <w:uiPriority w:val="0"/>
    <w:rPr>
      <w:rFonts w:ascii="宋体" w:hAnsi="宋体" w:eastAsia="宋体" w:cs="Times New Roman"/>
      <w:b/>
      <w:sz w:val="28"/>
      <w:szCs w:val="20"/>
      <w:lang w:val="zh-CN" w:eastAsia="zh-CN"/>
    </w:rPr>
  </w:style>
  <w:style w:type="character" w:customStyle="1" w:styleId="419">
    <w:name w:val="bz_标题 2 Char"/>
    <w:link w:val="415"/>
    <w:qFormat/>
    <w:uiPriority w:val="0"/>
    <w:rPr>
      <w:rFonts w:ascii="Arial" w:hAnsi="Arial" w:eastAsia="黑体" w:cs="Times New Roman"/>
      <w:b/>
      <w:bCs/>
      <w:sz w:val="32"/>
      <w:szCs w:val="20"/>
      <w:lang w:val="zh-CN" w:eastAsia="zh-CN"/>
    </w:rPr>
  </w:style>
  <w:style w:type="paragraph" w:customStyle="1" w:styleId="420">
    <w:name w:val="TOC 标题11"/>
    <w:basedOn w:val="2"/>
    <w:next w:val="1"/>
    <w:qFormat/>
    <w:uiPriority w:val="39"/>
    <w:pPr>
      <w:keepLines w:val="0"/>
      <w:pageBreakBefore w:val="0"/>
      <w:numPr>
        <w:numId w:val="0"/>
      </w:numPr>
      <w:spacing w:before="240" w:after="60" w:line="240" w:lineRule="auto"/>
      <w:outlineLvl w:val="9"/>
    </w:pPr>
    <w:rPr>
      <w:rFonts w:ascii="Cambria" w:hAnsi="Cambria"/>
      <w:kern w:val="32"/>
      <w:sz w:val="28"/>
      <w:szCs w:val="32"/>
      <w:lang w:val="zh-CN" w:bidi="en-US"/>
    </w:rPr>
  </w:style>
  <w:style w:type="character" w:customStyle="1" w:styleId="421">
    <w:name w:val="apple-style-span"/>
    <w:qFormat/>
    <w:uiPriority w:val="0"/>
  </w:style>
  <w:style w:type="paragraph" w:customStyle="1" w:styleId="422">
    <w:name w:val="样式 标题 4 + 宋体 小四"/>
    <w:basedOn w:val="5"/>
    <w:link w:val="423"/>
    <w:qFormat/>
    <w:uiPriority w:val="0"/>
    <w:pPr>
      <w:widowControl w:val="0"/>
      <w:numPr>
        <w:ilvl w:val="0"/>
        <w:numId w:val="0"/>
      </w:numPr>
      <w:jc w:val="both"/>
    </w:pPr>
    <w:rPr>
      <w:rFonts w:ascii="宋体" w:hAnsi="宋体"/>
      <w:sz w:val="24"/>
      <w:lang w:val="zh-CN"/>
    </w:rPr>
  </w:style>
  <w:style w:type="character" w:customStyle="1" w:styleId="423">
    <w:name w:val="样式 标题 4 + 宋体 小四 Char"/>
    <w:link w:val="422"/>
    <w:qFormat/>
    <w:uiPriority w:val="0"/>
    <w:rPr>
      <w:rFonts w:ascii="宋体" w:hAnsi="宋体" w:eastAsia="宋体" w:cs="Times New Roman"/>
      <w:b/>
      <w:bCs/>
      <w:sz w:val="24"/>
      <w:szCs w:val="28"/>
      <w:lang w:val="zh-CN" w:eastAsia="zh-CN"/>
    </w:rPr>
  </w:style>
  <w:style w:type="paragraph" w:customStyle="1" w:styleId="424">
    <w:name w:val="样式 样式 样式 标题 4 + 宋体 小四 + 首行缩进:  1.91 字符 + 首行缩进:  0 字符"/>
    <w:basedOn w:val="1"/>
    <w:qFormat/>
    <w:uiPriority w:val="0"/>
    <w:pPr>
      <w:keepNext/>
      <w:keepLines/>
      <w:spacing w:before="280" w:after="290" w:line="376" w:lineRule="auto"/>
      <w:outlineLvl w:val="3"/>
    </w:pPr>
    <w:rPr>
      <w:rFonts w:ascii="宋体" w:hAnsi="宋体" w:cs="宋体"/>
      <w:b/>
      <w:bCs/>
      <w:szCs w:val="20"/>
      <w:lang w:val="zh-CN"/>
    </w:rPr>
  </w:style>
  <w:style w:type="character" w:customStyle="1" w:styleId="425">
    <w:name w:val="正文文本 Char1"/>
    <w:qFormat/>
    <w:uiPriority w:val="0"/>
    <w:rPr>
      <w:kern w:val="2"/>
      <w:sz w:val="21"/>
      <w:szCs w:val="22"/>
    </w:rPr>
  </w:style>
  <w:style w:type="character" w:customStyle="1" w:styleId="426">
    <w:name w:val="页脚 Char1"/>
    <w:qFormat/>
    <w:uiPriority w:val="0"/>
    <w:rPr>
      <w:kern w:val="2"/>
      <w:sz w:val="18"/>
      <w:szCs w:val="18"/>
    </w:rPr>
  </w:style>
  <w:style w:type="character" w:customStyle="1" w:styleId="427">
    <w:name w:val="unnamed1"/>
    <w:qFormat/>
    <w:uiPriority w:val="0"/>
  </w:style>
  <w:style w:type="character" w:customStyle="1" w:styleId="428">
    <w:name w:val="unnamed11"/>
    <w:qFormat/>
    <w:uiPriority w:val="0"/>
    <w:rPr>
      <w:sz w:val="18"/>
      <w:szCs w:val="18"/>
    </w:rPr>
  </w:style>
  <w:style w:type="character" w:customStyle="1" w:styleId="429">
    <w:name w:val="日期 Char1"/>
    <w:basedOn w:val="85"/>
    <w:semiHidden/>
    <w:qFormat/>
    <w:uiPriority w:val="99"/>
    <w:rPr>
      <w:rFonts w:ascii="Times New Roman" w:hAnsi="Times New Roman" w:eastAsia="宋体" w:cs="Times New Roman"/>
      <w:szCs w:val="21"/>
    </w:rPr>
  </w:style>
  <w:style w:type="character" w:customStyle="1" w:styleId="430">
    <w:name w:val="正文文本 2 Char1"/>
    <w:basedOn w:val="85"/>
    <w:semiHidden/>
    <w:qFormat/>
    <w:uiPriority w:val="99"/>
    <w:rPr>
      <w:rFonts w:ascii="Times New Roman" w:hAnsi="Times New Roman" w:eastAsia="宋体" w:cs="Times New Roman"/>
      <w:szCs w:val="21"/>
    </w:rPr>
  </w:style>
  <w:style w:type="character" w:customStyle="1" w:styleId="431">
    <w:name w:val="正文文本缩进 2 Char1"/>
    <w:basedOn w:val="85"/>
    <w:semiHidden/>
    <w:qFormat/>
    <w:uiPriority w:val="99"/>
    <w:rPr>
      <w:rFonts w:ascii="Times New Roman" w:hAnsi="Times New Roman" w:eastAsia="宋体" w:cs="Times New Roman"/>
      <w:szCs w:val="21"/>
    </w:rPr>
  </w:style>
  <w:style w:type="character" w:customStyle="1" w:styleId="432">
    <w:name w:val="正文文本缩进 Char1"/>
    <w:semiHidden/>
    <w:qFormat/>
    <w:uiPriority w:val="99"/>
    <w:rPr>
      <w:kern w:val="2"/>
      <w:sz w:val="21"/>
      <w:szCs w:val="22"/>
    </w:rPr>
  </w:style>
  <w:style w:type="character" w:customStyle="1" w:styleId="433">
    <w:name w:val="副标题 Char1"/>
    <w:basedOn w:val="85"/>
    <w:qFormat/>
    <w:uiPriority w:val="11"/>
    <w:rPr>
      <w:rFonts w:eastAsia="宋体" w:asciiTheme="majorHAnsi" w:hAnsiTheme="majorHAnsi" w:cstheme="majorBidi"/>
      <w:b/>
      <w:bCs/>
      <w:kern w:val="28"/>
      <w:sz w:val="32"/>
      <w:szCs w:val="32"/>
    </w:rPr>
  </w:style>
  <w:style w:type="paragraph" w:customStyle="1" w:styleId="434">
    <w:name w:val="Normal0"/>
    <w:qFormat/>
    <w:uiPriority w:val="0"/>
    <w:rPr>
      <w:rFonts w:ascii="Times New Roman" w:hAnsi="Times New Roman" w:eastAsia="宋体" w:cs="Times New Roman"/>
      <w:lang w:val="en-US" w:eastAsia="en-US" w:bidi="ar-SA"/>
    </w:rPr>
  </w:style>
  <w:style w:type="paragraph" w:customStyle="1" w:styleId="435">
    <w:name w:val="1.1.1 标题"/>
    <w:basedOn w:val="2"/>
    <w:qFormat/>
    <w:uiPriority w:val="0"/>
    <w:pPr>
      <w:pageBreakBefore w:val="0"/>
      <w:widowControl w:val="0"/>
      <w:numPr>
        <w:ilvl w:val="2"/>
        <w:numId w:val="25"/>
      </w:numPr>
      <w:spacing w:line="240" w:lineRule="auto"/>
      <w:outlineLvl w:val="2"/>
    </w:pPr>
    <w:rPr>
      <w:b w:val="0"/>
      <w:bCs w:val="0"/>
      <w:sz w:val="24"/>
      <w:szCs w:val="20"/>
    </w:rPr>
  </w:style>
  <w:style w:type="paragraph" w:customStyle="1" w:styleId="436">
    <w:name w:val="1.1.1.1 标题"/>
    <w:basedOn w:val="437"/>
    <w:qFormat/>
    <w:uiPriority w:val="0"/>
    <w:pPr>
      <w:numPr>
        <w:ilvl w:val="3"/>
      </w:numPr>
      <w:tabs>
        <w:tab w:val="left" w:pos="360"/>
      </w:tabs>
      <w:spacing w:before="0" w:after="0" w:line="240" w:lineRule="atLeast"/>
      <w:outlineLvl w:val="3"/>
    </w:pPr>
    <w:rPr>
      <w:rFonts w:eastAsia="宋体"/>
      <w:b w:val="0"/>
      <w:sz w:val="24"/>
    </w:rPr>
  </w:style>
  <w:style w:type="paragraph" w:customStyle="1" w:styleId="437">
    <w:name w:val="1 标题"/>
    <w:basedOn w:val="2"/>
    <w:qFormat/>
    <w:uiPriority w:val="0"/>
    <w:pPr>
      <w:pageBreakBefore w:val="0"/>
      <w:widowControl w:val="0"/>
      <w:numPr>
        <w:numId w:val="25"/>
      </w:numPr>
      <w:spacing w:before="160" w:after="160" w:line="240" w:lineRule="auto"/>
    </w:pPr>
    <w:rPr>
      <w:bCs w:val="0"/>
      <w:sz w:val="28"/>
      <w:szCs w:val="20"/>
    </w:rPr>
  </w:style>
  <w:style w:type="paragraph" w:customStyle="1" w:styleId="438">
    <w:name w:val="表格内容"/>
    <w:basedOn w:val="1"/>
    <w:qFormat/>
    <w:uiPriority w:val="0"/>
    <w:pPr>
      <w:ind w:right="193"/>
    </w:pPr>
    <w:rPr>
      <w:rFonts w:ascii="幼圆" w:eastAsia="幼圆"/>
      <w:color w:val="008080"/>
      <w:szCs w:val="20"/>
    </w:rPr>
  </w:style>
  <w:style w:type="paragraph" w:customStyle="1" w:styleId="439">
    <w:name w:val="编写建议"/>
    <w:basedOn w:val="1"/>
    <w:qFormat/>
    <w:uiPriority w:val="0"/>
    <w:pPr>
      <w:autoSpaceDE w:val="0"/>
      <w:autoSpaceDN w:val="0"/>
      <w:adjustRightInd w:val="0"/>
    </w:pPr>
    <w:rPr>
      <w:iCs/>
    </w:rPr>
  </w:style>
  <w:style w:type="paragraph" w:customStyle="1" w:styleId="440">
    <w:name w:val="Char2"/>
    <w:basedOn w:val="1"/>
    <w:qFormat/>
    <w:uiPriority w:val="0"/>
    <w:rPr>
      <w:rFonts w:ascii="Tahoma" w:hAnsi="Tahoma"/>
      <w:szCs w:val="20"/>
    </w:rPr>
  </w:style>
  <w:style w:type="paragraph" w:customStyle="1" w:styleId="441">
    <w:name w:val="文字内容"/>
    <w:basedOn w:val="222"/>
    <w:qFormat/>
    <w:uiPriority w:val="0"/>
    <w:pPr>
      <w:widowControl w:val="0"/>
      <w:ind w:firstLine="420"/>
    </w:pPr>
    <w:rPr>
      <w:rFonts w:ascii="Times New Roman" w:hAnsi="Times New Roman" w:eastAsia="宋体"/>
      <w:sz w:val="24"/>
      <w:szCs w:val="24"/>
      <w:lang w:val="zh-CN"/>
    </w:rPr>
  </w:style>
  <w:style w:type="paragraph" w:customStyle="1" w:styleId="442">
    <w:name w:val="细项"/>
    <w:basedOn w:val="1"/>
    <w:qFormat/>
    <w:uiPriority w:val="0"/>
    <w:pPr>
      <w:numPr>
        <w:ilvl w:val="0"/>
        <w:numId w:val="26"/>
      </w:numPr>
      <w:tabs>
        <w:tab w:val="left" w:pos="1265"/>
      </w:tabs>
      <w:autoSpaceDE w:val="0"/>
      <w:autoSpaceDN w:val="0"/>
      <w:adjustRightInd w:val="0"/>
      <w:ind w:firstLine="200"/>
      <w:jc w:val="left"/>
    </w:pPr>
    <w:rPr>
      <w:rFonts w:ascii="宋体"/>
      <w:color w:val="000000"/>
      <w:kern w:val="0"/>
      <w:sz w:val="28"/>
    </w:rPr>
  </w:style>
  <w:style w:type="paragraph" w:customStyle="1" w:styleId="443">
    <w:name w:val="nr Char Char Char Char Char Char Char Char Char Char Char Char Char Char"/>
    <w:basedOn w:val="1"/>
    <w:qFormat/>
    <w:uiPriority w:val="0"/>
    <w:rPr>
      <w:rFonts w:eastAsia="楷体_GB2312" w:cs="宋体"/>
      <w:sz w:val="28"/>
      <w:szCs w:val="20"/>
    </w:rPr>
  </w:style>
  <w:style w:type="paragraph" w:customStyle="1" w:styleId="444">
    <w:name w:val="zhang"/>
    <w:basedOn w:val="1"/>
    <w:qFormat/>
    <w:uiPriority w:val="0"/>
    <w:pPr>
      <w:jc w:val="center"/>
    </w:pPr>
    <w:rPr>
      <w:rFonts w:ascii="宋体" w:hAnsi="宋体" w:eastAsia="黑体" w:cs="宋体"/>
      <w:b/>
      <w:bCs/>
      <w:sz w:val="44"/>
      <w:szCs w:val="20"/>
    </w:rPr>
  </w:style>
  <w:style w:type="paragraph" w:customStyle="1" w:styleId="445">
    <w:name w:val="样式10"/>
    <w:basedOn w:val="1"/>
    <w:qFormat/>
    <w:uiPriority w:val="0"/>
    <w:pPr>
      <w:numPr>
        <w:ilvl w:val="0"/>
        <w:numId w:val="27"/>
      </w:numPr>
      <w:tabs>
        <w:tab w:val="left" w:pos="360"/>
      </w:tabs>
      <w:spacing w:line="300" w:lineRule="auto"/>
      <w:ind w:firstLine="200"/>
    </w:pPr>
    <w:rPr>
      <w:rFonts w:ascii="宋体"/>
      <w:snapToGrid w:val="0"/>
      <w:kern w:val="0"/>
      <w:szCs w:val="20"/>
    </w:rPr>
  </w:style>
  <w:style w:type="paragraph" w:customStyle="1" w:styleId="446">
    <w:name w:val="1.1"/>
    <w:basedOn w:val="447"/>
    <w:qFormat/>
    <w:uiPriority w:val="0"/>
    <w:rPr>
      <w:rFonts w:eastAsia="黑体"/>
      <w:sz w:val="36"/>
    </w:rPr>
  </w:style>
  <w:style w:type="paragraph" w:customStyle="1" w:styleId="447">
    <w:name w:val="1 Char Char Char"/>
    <w:basedOn w:val="1"/>
    <w:qFormat/>
    <w:uiPriority w:val="0"/>
    <w:pPr>
      <w:spacing w:before="156" w:beforeLines="50" w:after="156" w:afterLines="50"/>
      <w:jc w:val="left"/>
      <w:outlineLvl w:val="2"/>
    </w:pPr>
    <w:rPr>
      <w:rFonts w:ascii="宋体" w:hAnsi="宋体"/>
      <w:b/>
      <w:szCs w:val="32"/>
    </w:rPr>
  </w:style>
  <w:style w:type="paragraph" w:customStyle="1" w:styleId="448">
    <w:name w:val="nr Char Char Char Char Char Char Char"/>
    <w:basedOn w:val="1"/>
    <w:qFormat/>
    <w:uiPriority w:val="0"/>
    <w:rPr>
      <w:rFonts w:eastAsia="楷体_GB2312" w:cs="宋体"/>
    </w:rPr>
  </w:style>
  <w:style w:type="paragraph" w:customStyle="1" w:styleId="449">
    <w:name w:val="nr Char Char Char Char Char Char"/>
    <w:basedOn w:val="1"/>
    <w:qFormat/>
    <w:uiPriority w:val="0"/>
    <w:rPr>
      <w:rFonts w:eastAsia="楷体_GB2312" w:cs="宋体"/>
    </w:rPr>
  </w:style>
  <w:style w:type="paragraph" w:customStyle="1" w:styleId="450">
    <w:name w:val="111"/>
    <w:basedOn w:val="4"/>
    <w:qFormat/>
    <w:uiPriority w:val="0"/>
    <w:pPr>
      <w:widowControl w:val="0"/>
      <w:numPr>
        <w:ilvl w:val="0"/>
        <w:numId w:val="0"/>
      </w:numPr>
      <w:spacing w:line="480" w:lineRule="exact"/>
      <w:ind w:left="540"/>
      <w:jc w:val="both"/>
    </w:pPr>
    <w:rPr>
      <w:rFonts w:cs="宋体"/>
      <w:szCs w:val="20"/>
    </w:rPr>
  </w:style>
  <w:style w:type="paragraph" w:customStyle="1" w:styleId="451">
    <w:name w:val="nr Char Char Char Char Char Char Char Char Char Char Char Char"/>
    <w:basedOn w:val="1"/>
    <w:qFormat/>
    <w:uiPriority w:val="0"/>
    <w:rPr>
      <w:rFonts w:eastAsia="楷体_GB2312" w:cs="宋体"/>
    </w:rPr>
  </w:style>
  <w:style w:type="paragraph" w:customStyle="1" w:styleId="452">
    <w:name w:val="1。1。1"/>
    <w:basedOn w:val="4"/>
    <w:qFormat/>
    <w:uiPriority w:val="0"/>
    <w:pPr>
      <w:widowControl w:val="0"/>
      <w:numPr>
        <w:ilvl w:val="0"/>
        <w:numId w:val="0"/>
      </w:numPr>
      <w:spacing w:line="480" w:lineRule="exact"/>
      <w:ind w:left="540"/>
      <w:jc w:val="both"/>
    </w:pPr>
    <w:rPr>
      <w:rFonts w:cs="宋体"/>
      <w:szCs w:val="20"/>
    </w:rPr>
  </w:style>
  <w:style w:type="paragraph" w:customStyle="1" w:styleId="453">
    <w:name w:val="目录"/>
    <w:basedOn w:val="1"/>
    <w:qFormat/>
    <w:uiPriority w:val="0"/>
  </w:style>
  <w:style w:type="paragraph" w:customStyle="1" w:styleId="454">
    <w:name w:val="五号正文"/>
    <w:qFormat/>
    <w:uiPriority w:val="0"/>
    <w:pPr>
      <w:spacing w:line="360" w:lineRule="exact"/>
    </w:pPr>
    <w:rPr>
      <w:rFonts w:ascii="Times New Roman" w:hAnsi="Times New Roman" w:eastAsia="宋体" w:cs="Times New Roman"/>
      <w:kern w:val="2"/>
      <w:sz w:val="21"/>
      <w:szCs w:val="21"/>
      <w:lang w:val="en-US" w:eastAsia="zh-CN" w:bidi="ar-SA"/>
    </w:rPr>
  </w:style>
  <w:style w:type="paragraph" w:customStyle="1" w:styleId="455">
    <w:name w:val="表内正文"/>
    <w:basedOn w:val="1"/>
    <w:qFormat/>
    <w:uiPriority w:val="0"/>
    <w:pPr>
      <w:snapToGrid w:val="0"/>
      <w:spacing w:line="340" w:lineRule="exact"/>
      <w:jc w:val="left"/>
    </w:pPr>
  </w:style>
  <w:style w:type="paragraph" w:customStyle="1" w:styleId="456">
    <w:name w:val="样式 标题 2 + 左 首行缩进:  0.48 厘米 段前: 18 磅 段后: 7.8 磅 行距: 多倍行距 1.3 字行"/>
    <w:basedOn w:val="3"/>
    <w:qFormat/>
    <w:uiPriority w:val="0"/>
    <w:pPr>
      <w:widowControl w:val="0"/>
      <w:numPr>
        <w:ilvl w:val="0"/>
        <w:numId w:val="0"/>
      </w:numPr>
      <w:spacing w:before="360" w:after="156" w:line="312" w:lineRule="auto"/>
      <w:ind w:firstLine="272"/>
    </w:pPr>
    <w:rPr>
      <w:rFonts w:ascii="Arial" w:hAnsi="Arial" w:cs="宋体"/>
      <w:b w:val="0"/>
      <w:szCs w:val="20"/>
    </w:rPr>
  </w:style>
  <w:style w:type="character" w:customStyle="1" w:styleId="457">
    <w:name w:val="批注主题 Char1"/>
    <w:basedOn w:val="118"/>
    <w:semiHidden/>
    <w:qFormat/>
    <w:uiPriority w:val="99"/>
    <w:rPr>
      <w:rFonts w:ascii="Times New Roman" w:hAnsi="Times New Roman" w:eastAsia="宋体" w:cs="Times New Roman"/>
      <w:b/>
      <w:bCs/>
      <w:sz w:val="24"/>
      <w:szCs w:val="21"/>
    </w:rPr>
  </w:style>
  <w:style w:type="character" w:customStyle="1" w:styleId="458">
    <w:name w:val="HTML 预设格式 Char1"/>
    <w:basedOn w:val="85"/>
    <w:semiHidden/>
    <w:qFormat/>
    <w:uiPriority w:val="99"/>
    <w:rPr>
      <w:rFonts w:ascii="Courier New" w:hAnsi="Courier New" w:eastAsia="宋体" w:cs="Courier New"/>
      <w:sz w:val="20"/>
      <w:szCs w:val="20"/>
    </w:rPr>
  </w:style>
  <w:style w:type="paragraph" w:customStyle="1" w:styleId="459">
    <w:name w:val="Char1 Char Char Char"/>
    <w:basedOn w:val="1"/>
    <w:qFormat/>
    <w:uiPriority w:val="0"/>
    <w:rPr>
      <w:rFonts w:ascii="Tahoma" w:hAnsi="Tahoma"/>
      <w:szCs w:val="20"/>
    </w:rPr>
  </w:style>
  <w:style w:type="character" w:customStyle="1" w:styleId="460">
    <w:name w:val="z11"/>
    <w:qFormat/>
    <w:uiPriority w:val="0"/>
    <w:rPr>
      <w:sz w:val="20"/>
      <w:szCs w:val="20"/>
    </w:rPr>
  </w:style>
  <w:style w:type="paragraph" w:customStyle="1" w:styleId="461">
    <w:name w:val="样式 样式 项目符号3 + 段后: 0.5 行 + 段后: 1 行"/>
    <w:basedOn w:val="1"/>
    <w:link w:val="462"/>
    <w:qFormat/>
    <w:uiPriority w:val="0"/>
    <w:pPr>
      <w:numPr>
        <w:ilvl w:val="0"/>
        <w:numId w:val="28"/>
      </w:numPr>
      <w:tabs>
        <w:tab w:val="left" w:pos="432"/>
        <w:tab w:val="clear" w:pos="480"/>
      </w:tabs>
      <w:spacing w:after="312" w:afterLines="100"/>
      <w:ind w:left="432" w:hanging="432"/>
    </w:pPr>
    <w:rPr>
      <w:rFonts w:cs="Arial Unicode MS"/>
      <w:lang w:val="zh-CN" w:bidi="zh-CN"/>
    </w:rPr>
  </w:style>
  <w:style w:type="character" w:customStyle="1" w:styleId="462">
    <w:name w:val="样式 样式 项目符号3 + 段后: 0.5 行 + 段后: 1 行 Char"/>
    <w:link w:val="461"/>
    <w:qFormat/>
    <w:uiPriority w:val="0"/>
    <w:rPr>
      <w:rFonts w:ascii="Times New Roman" w:hAnsi="Times New Roman" w:eastAsia="楷体" w:cs="Arial Unicode MS"/>
      <w:kern w:val="2"/>
      <w:sz w:val="32"/>
      <w:szCs w:val="24"/>
      <w:lang w:val="zh-CN" w:bidi="zh-CN"/>
    </w:rPr>
  </w:style>
  <w:style w:type="paragraph" w:customStyle="1" w:styleId="463">
    <w:name w:val="项目符号3"/>
    <w:basedOn w:val="1"/>
    <w:qFormat/>
    <w:uiPriority w:val="0"/>
    <w:pPr>
      <w:spacing w:after="50" w:afterLines="50"/>
      <w:ind w:left="482" w:hanging="425"/>
    </w:pPr>
    <w:rPr>
      <w:rFonts w:cs="Arial Unicode MS"/>
      <w:lang w:bidi="zh-CN"/>
    </w:rPr>
  </w:style>
  <w:style w:type="paragraph" w:customStyle="1" w:styleId="464">
    <w:name w:val="左对齐的表内文字"/>
    <w:basedOn w:val="222"/>
    <w:link w:val="465"/>
    <w:qFormat/>
    <w:uiPriority w:val="0"/>
    <w:pPr>
      <w:widowControl w:val="0"/>
      <w:ind w:firstLine="0" w:firstLineChars="0"/>
    </w:pPr>
    <w:rPr>
      <w:rFonts w:ascii="Times New Roman" w:hAnsi="Times New Roman"/>
      <w:sz w:val="24"/>
      <w:szCs w:val="20"/>
      <w:lang w:val="zh-CN"/>
    </w:rPr>
  </w:style>
  <w:style w:type="character" w:customStyle="1" w:styleId="465">
    <w:name w:val="左对齐的表内文字 Char"/>
    <w:link w:val="464"/>
    <w:qFormat/>
    <w:uiPriority w:val="0"/>
    <w:rPr>
      <w:rFonts w:ascii="Times New Roman" w:hAnsi="Times New Roman" w:eastAsia="仿宋_GB2312" w:cs="Times New Roman"/>
      <w:sz w:val="24"/>
      <w:szCs w:val="20"/>
      <w:lang w:val="zh-CN" w:eastAsia="zh-CN"/>
    </w:rPr>
  </w:style>
  <w:style w:type="paragraph" w:customStyle="1" w:styleId="466">
    <w:name w:val="yf标题1"/>
    <w:basedOn w:val="1"/>
    <w:link w:val="467"/>
    <w:qFormat/>
    <w:uiPriority w:val="0"/>
    <w:pPr>
      <w:keepNext/>
      <w:keepLines/>
      <w:numPr>
        <w:ilvl w:val="0"/>
        <w:numId w:val="29"/>
      </w:numPr>
      <w:snapToGrid w:val="0"/>
      <w:spacing w:line="480" w:lineRule="auto"/>
      <w:ind w:firstLine="200"/>
      <w:jc w:val="center"/>
      <w:outlineLvl w:val="0"/>
    </w:pPr>
    <w:rPr>
      <w:rFonts w:ascii="Calibri" w:hAnsi="Calibri"/>
      <w:b/>
      <w:bCs/>
      <w:kern w:val="44"/>
      <w:sz w:val="44"/>
      <w:szCs w:val="44"/>
      <w:lang w:val="zh-CN"/>
    </w:rPr>
  </w:style>
  <w:style w:type="character" w:customStyle="1" w:styleId="467">
    <w:name w:val="yf标题1 Char"/>
    <w:link w:val="466"/>
    <w:qFormat/>
    <w:uiPriority w:val="0"/>
    <w:rPr>
      <w:rFonts w:ascii="Calibri" w:hAnsi="Calibri" w:eastAsia="楷体" w:cs="Times New Roman"/>
      <w:b/>
      <w:bCs/>
      <w:kern w:val="44"/>
      <w:sz w:val="44"/>
      <w:szCs w:val="44"/>
      <w:lang w:val="zh-CN"/>
    </w:rPr>
  </w:style>
  <w:style w:type="paragraph" w:customStyle="1" w:styleId="468">
    <w:name w:val="yf标题1.1"/>
    <w:basedOn w:val="3"/>
    <w:link w:val="469"/>
    <w:qFormat/>
    <w:uiPriority w:val="0"/>
    <w:pPr>
      <w:widowControl w:val="0"/>
      <w:numPr>
        <w:numId w:val="29"/>
      </w:numPr>
      <w:snapToGrid w:val="0"/>
      <w:spacing w:before="120" w:line="300" w:lineRule="auto"/>
      <w:jc w:val="both"/>
    </w:pPr>
    <w:rPr>
      <w:rFonts w:ascii="Cambria" w:hAnsi="Cambria"/>
      <w:lang w:val="zh-CN"/>
    </w:rPr>
  </w:style>
  <w:style w:type="character" w:customStyle="1" w:styleId="469">
    <w:name w:val="yf标题1.1 Char"/>
    <w:link w:val="468"/>
    <w:qFormat/>
    <w:uiPriority w:val="0"/>
    <w:rPr>
      <w:rFonts w:ascii="Cambria" w:hAnsi="Cambria" w:eastAsia="黑体" w:cs="Times New Roman"/>
      <w:b/>
      <w:bCs/>
      <w:kern w:val="2"/>
      <w:sz w:val="28"/>
      <w:szCs w:val="28"/>
      <w:lang w:val="zh-CN"/>
    </w:rPr>
  </w:style>
  <w:style w:type="paragraph" w:customStyle="1" w:styleId="470">
    <w:name w:val="yf标题1.1.1"/>
    <w:basedOn w:val="4"/>
    <w:link w:val="471"/>
    <w:qFormat/>
    <w:uiPriority w:val="0"/>
    <w:pPr>
      <w:widowControl w:val="0"/>
      <w:numPr>
        <w:numId w:val="29"/>
      </w:numPr>
      <w:snapToGrid w:val="0"/>
      <w:spacing w:before="156" w:beforeLines="50" w:line="360" w:lineRule="auto"/>
      <w:jc w:val="both"/>
    </w:pPr>
    <w:rPr>
      <w:rFonts w:ascii="Calibri" w:hAnsi="Calibri"/>
      <w:lang w:val="zh-CN"/>
    </w:rPr>
  </w:style>
  <w:style w:type="character" w:customStyle="1" w:styleId="471">
    <w:name w:val="yf标题1.1.1 Char"/>
    <w:link w:val="470"/>
    <w:qFormat/>
    <w:uiPriority w:val="0"/>
    <w:rPr>
      <w:rFonts w:ascii="Calibri" w:hAnsi="Calibri" w:eastAsia="黑体" w:cs="Times New Roman"/>
      <w:b/>
      <w:bCs/>
      <w:kern w:val="2"/>
      <w:sz w:val="28"/>
      <w:szCs w:val="28"/>
      <w:lang w:val="zh-CN"/>
    </w:rPr>
  </w:style>
  <w:style w:type="paragraph" w:customStyle="1" w:styleId="472">
    <w:name w:val="yf标题1.1.1.1"/>
    <w:basedOn w:val="5"/>
    <w:link w:val="473"/>
    <w:qFormat/>
    <w:uiPriority w:val="0"/>
    <w:pPr>
      <w:widowControl w:val="0"/>
      <w:numPr>
        <w:numId w:val="29"/>
      </w:numPr>
      <w:snapToGrid w:val="0"/>
      <w:spacing w:line="300" w:lineRule="auto"/>
      <w:jc w:val="both"/>
    </w:pPr>
    <w:rPr>
      <w:rFonts w:ascii="Cambria" w:hAnsi="Cambria"/>
      <w:lang w:val="zh-CN"/>
    </w:rPr>
  </w:style>
  <w:style w:type="character" w:customStyle="1" w:styleId="473">
    <w:name w:val="yf标题1.1.1.1 Char"/>
    <w:link w:val="472"/>
    <w:qFormat/>
    <w:uiPriority w:val="0"/>
    <w:rPr>
      <w:rFonts w:ascii="Cambria" w:hAnsi="Cambria" w:eastAsia="宋体" w:cs="Times New Roman"/>
      <w:b/>
      <w:bCs/>
      <w:kern w:val="2"/>
      <w:sz w:val="28"/>
      <w:szCs w:val="28"/>
      <w:lang w:val="zh-CN"/>
    </w:rPr>
  </w:style>
  <w:style w:type="paragraph" w:customStyle="1" w:styleId="474">
    <w:name w:val="yf正文"/>
    <w:basedOn w:val="70"/>
    <w:link w:val="475"/>
    <w:qFormat/>
    <w:uiPriority w:val="0"/>
    <w:pPr>
      <w:snapToGrid w:val="0"/>
      <w:spacing w:before="0" w:beforeAutospacing="0" w:after="0" w:afterAutospacing="0" w:line="360" w:lineRule="auto"/>
      <w:ind w:firstLine="200" w:firstLineChars="200"/>
      <w:jc w:val="both"/>
    </w:pPr>
    <w:rPr>
      <w:rFonts w:cs="Times New Roman"/>
      <w:lang w:val="zh-CN"/>
    </w:rPr>
  </w:style>
  <w:style w:type="character" w:customStyle="1" w:styleId="475">
    <w:name w:val="yf正文 Char"/>
    <w:link w:val="474"/>
    <w:qFormat/>
    <w:uiPriority w:val="0"/>
    <w:rPr>
      <w:rFonts w:ascii="宋体" w:hAnsi="宋体" w:eastAsia="宋体" w:cs="Times New Roman"/>
      <w:kern w:val="0"/>
      <w:sz w:val="24"/>
      <w:szCs w:val="24"/>
      <w:lang w:val="zh-CN" w:eastAsia="zh-CN"/>
    </w:rPr>
  </w:style>
  <w:style w:type="paragraph" w:customStyle="1" w:styleId="476">
    <w:name w:val="图标题"/>
    <w:basedOn w:val="1"/>
    <w:link w:val="477"/>
    <w:qFormat/>
    <w:uiPriority w:val="0"/>
    <w:pPr>
      <w:jc w:val="center"/>
    </w:pPr>
    <w:rPr>
      <w:rFonts w:ascii="黑体" w:eastAsia="黑体"/>
      <w:b/>
      <w:szCs w:val="21"/>
      <w:lang w:val="zh-CN"/>
    </w:rPr>
  </w:style>
  <w:style w:type="character" w:customStyle="1" w:styleId="477">
    <w:name w:val="图标题 Char"/>
    <w:link w:val="476"/>
    <w:qFormat/>
    <w:uiPriority w:val="0"/>
    <w:rPr>
      <w:rFonts w:ascii="黑体" w:hAnsi="Times New Roman" w:eastAsia="黑体" w:cs="Times New Roman"/>
      <w:b/>
      <w:sz w:val="24"/>
      <w:szCs w:val="21"/>
      <w:lang w:val="zh-CN" w:eastAsia="zh-CN"/>
    </w:rPr>
  </w:style>
  <w:style w:type="character" w:customStyle="1" w:styleId="478">
    <w:name w:val="表格1"/>
    <w:qFormat/>
    <w:uiPriority w:val="0"/>
    <w:rPr>
      <w:rFonts w:hAnsi="宋体" w:eastAsia="Times New Roman"/>
      <w:sz w:val="21"/>
    </w:rPr>
  </w:style>
  <w:style w:type="character" w:customStyle="1" w:styleId="479">
    <w:name w:val="InfoBlue Char Char"/>
    <w:link w:val="480"/>
    <w:qFormat/>
    <w:uiPriority w:val="0"/>
    <w:rPr>
      <w:rFonts w:ascii="Arial" w:hAnsi="Arial"/>
      <w:iCs/>
      <w:snapToGrid w:val="0"/>
      <w:color w:val="000000"/>
      <w:szCs w:val="21"/>
    </w:rPr>
  </w:style>
  <w:style w:type="paragraph" w:customStyle="1" w:styleId="480">
    <w:name w:val="InfoBlue"/>
    <w:basedOn w:val="1"/>
    <w:next w:val="29"/>
    <w:link w:val="479"/>
    <w:qFormat/>
    <w:uiPriority w:val="0"/>
    <w:pPr>
      <w:tabs>
        <w:tab w:val="left" w:pos="1260"/>
      </w:tabs>
      <w:spacing w:line="240" w:lineRule="atLeast"/>
      <w:ind w:left="-120" w:leftChars="-120" w:right="210" w:hanging="252" w:hangingChars="120"/>
      <w:jc w:val="left"/>
    </w:pPr>
    <w:rPr>
      <w:rFonts w:ascii="Arial" w:hAnsi="Arial" w:eastAsiaTheme="minorEastAsia" w:cstheme="minorBidi"/>
      <w:iCs/>
      <w:snapToGrid w:val="0"/>
      <w:color w:val="000000"/>
      <w:sz w:val="21"/>
      <w:szCs w:val="21"/>
    </w:rPr>
  </w:style>
  <w:style w:type="paragraph" w:customStyle="1" w:styleId="481">
    <w:name w:val="列出段落11"/>
    <w:basedOn w:val="1"/>
    <w:qFormat/>
    <w:uiPriority w:val="34"/>
    <w:pPr>
      <w:ind w:firstLine="420"/>
      <w:jc w:val="left"/>
    </w:pPr>
    <w:rPr>
      <w:rFonts w:ascii="Arial" w:hAnsi="Arial"/>
      <w:lang w:eastAsia="zh-TW"/>
    </w:rPr>
  </w:style>
  <w:style w:type="character" w:customStyle="1" w:styleId="482">
    <w:name w:val="中等深浅网格 1 - 着色 3 Char"/>
    <w:qFormat/>
    <w:uiPriority w:val="1"/>
    <w:rPr>
      <w:sz w:val="22"/>
      <w:szCs w:val="22"/>
      <w:lang w:bidi="ar-SA"/>
    </w:rPr>
  </w:style>
  <w:style w:type="character" w:customStyle="1" w:styleId="483">
    <w:name w:val="M标题1.1 Char"/>
    <w:link w:val="484"/>
    <w:qFormat/>
    <w:uiPriority w:val="0"/>
    <w:rPr>
      <w:rFonts w:ascii="宋体" w:hAnsi="宋体" w:eastAsia="仿宋"/>
      <w:b/>
      <w:bCs/>
      <w:kern w:val="2"/>
      <w:sz w:val="28"/>
      <w:szCs w:val="28"/>
    </w:rPr>
  </w:style>
  <w:style w:type="paragraph" w:customStyle="1" w:styleId="484">
    <w:name w:val="M标题1.1"/>
    <w:basedOn w:val="3"/>
    <w:link w:val="483"/>
    <w:qFormat/>
    <w:uiPriority w:val="0"/>
    <w:pPr>
      <w:widowControl w:val="0"/>
      <w:snapToGrid w:val="0"/>
      <w:spacing w:before="120" w:beforeLines="50" w:line="300" w:lineRule="auto"/>
      <w:ind w:right="280" w:rightChars="100"/>
    </w:pPr>
    <w:rPr>
      <w:rFonts w:ascii="宋体" w:hAnsi="宋体" w:eastAsia="仿宋" w:cstheme="minorBidi"/>
    </w:rPr>
  </w:style>
  <w:style w:type="character" w:customStyle="1" w:styleId="485">
    <w:name w:val="浅色列表 - 着色 5 Char"/>
    <w:qFormat/>
    <w:uiPriority w:val="34"/>
    <w:rPr>
      <w:kern w:val="2"/>
      <w:sz w:val="21"/>
      <w:szCs w:val="22"/>
    </w:rPr>
  </w:style>
  <w:style w:type="character" w:customStyle="1" w:styleId="486">
    <w:name w:val="M正文 Char"/>
    <w:link w:val="487"/>
    <w:qFormat/>
    <w:uiPriority w:val="0"/>
    <w:rPr>
      <w:rFonts w:ascii="宋体" w:hAnsi="宋体"/>
      <w:sz w:val="24"/>
      <w:szCs w:val="24"/>
    </w:rPr>
  </w:style>
  <w:style w:type="paragraph" w:customStyle="1" w:styleId="487">
    <w:name w:val="M正文"/>
    <w:basedOn w:val="70"/>
    <w:link w:val="486"/>
    <w:qFormat/>
    <w:uiPriority w:val="0"/>
    <w:pPr>
      <w:snapToGrid w:val="0"/>
      <w:spacing w:before="0" w:beforeLines="50" w:beforeAutospacing="0" w:after="0" w:afterAutospacing="0" w:line="360" w:lineRule="auto"/>
      <w:ind w:firstLine="480" w:firstLineChars="200"/>
    </w:pPr>
    <w:rPr>
      <w:rFonts w:eastAsiaTheme="minorEastAsia" w:cstheme="minorBidi"/>
      <w:kern w:val="2"/>
    </w:rPr>
  </w:style>
  <w:style w:type="character" w:customStyle="1" w:styleId="488">
    <w:name w:val="M标题1.1.1.1 Char"/>
    <w:link w:val="489"/>
    <w:qFormat/>
    <w:uiPriority w:val="0"/>
    <w:rPr>
      <w:rFonts w:ascii="Cambria" w:hAnsi="Cambria" w:eastAsia="仿宋"/>
      <w:b/>
      <w:bCs/>
      <w:sz w:val="28"/>
      <w:szCs w:val="28"/>
    </w:rPr>
  </w:style>
  <w:style w:type="paragraph" w:customStyle="1" w:styleId="489">
    <w:name w:val="M标题1.1.1.1"/>
    <w:basedOn w:val="5"/>
    <w:link w:val="488"/>
    <w:qFormat/>
    <w:uiPriority w:val="0"/>
    <w:pPr>
      <w:widowControl w:val="0"/>
      <w:numPr>
        <w:ilvl w:val="0"/>
        <w:numId w:val="0"/>
      </w:numPr>
      <w:snapToGrid w:val="0"/>
      <w:spacing w:line="300" w:lineRule="auto"/>
      <w:ind w:right="100" w:rightChars="100"/>
      <w:jc w:val="both"/>
    </w:pPr>
    <w:rPr>
      <w:rFonts w:ascii="Cambria" w:hAnsi="Cambria" w:eastAsia="仿宋" w:cstheme="minorBidi"/>
    </w:rPr>
  </w:style>
  <w:style w:type="character" w:customStyle="1" w:styleId="490">
    <w:name w:val="标题3字符"/>
    <w:qFormat/>
    <w:uiPriority w:val="0"/>
    <w:rPr>
      <w:rFonts w:eastAsia="仿宋"/>
      <w:kern w:val="2"/>
      <w:sz w:val="28"/>
      <w:szCs w:val="22"/>
    </w:rPr>
  </w:style>
  <w:style w:type="character" w:customStyle="1" w:styleId="491">
    <w:name w:val="M标题1.1.1 Char"/>
    <w:link w:val="492"/>
    <w:qFormat/>
    <w:uiPriority w:val="0"/>
    <w:rPr>
      <w:rFonts w:ascii="宋体" w:hAnsi="宋体" w:eastAsia="仿宋"/>
      <w:b/>
      <w:bCs/>
      <w:kern w:val="2"/>
      <w:sz w:val="28"/>
      <w:szCs w:val="28"/>
    </w:rPr>
  </w:style>
  <w:style w:type="paragraph" w:customStyle="1" w:styleId="492">
    <w:name w:val="M标题1.1.1"/>
    <w:basedOn w:val="4"/>
    <w:link w:val="491"/>
    <w:qFormat/>
    <w:uiPriority w:val="0"/>
    <w:pPr>
      <w:widowControl w:val="0"/>
      <w:snapToGrid w:val="0"/>
      <w:spacing w:before="156" w:beforeLines="50" w:line="360" w:lineRule="auto"/>
      <w:ind w:right="280" w:rightChars="100"/>
      <w:jc w:val="both"/>
    </w:pPr>
    <w:rPr>
      <w:rFonts w:ascii="宋体" w:hAnsi="宋体" w:eastAsia="仿宋" w:cstheme="minorBidi"/>
    </w:rPr>
  </w:style>
  <w:style w:type="paragraph" w:customStyle="1" w:styleId="493">
    <w:name w:val="标题 31"/>
    <w:basedOn w:val="1"/>
    <w:next w:val="1"/>
    <w:qFormat/>
    <w:uiPriority w:val="9"/>
    <w:pPr>
      <w:keepNext/>
      <w:keepLines/>
      <w:spacing w:before="156" w:beforeLines="50" w:after="260" w:line="416" w:lineRule="auto"/>
      <w:ind w:right="280" w:rightChars="100"/>
      <w:outlineLvl w:val="2"/>
    </w:pPr>
    <w:rPr>
      <w:rFonts w:ascii="Calibri" w:hAnsi="Calibri"/>
      <w:b/>
      <w:bCs/>
      <w:szCs w:val="32"/>
    </w:rPr>
  </w:style>
  <w:style w:type="paragraph" w:customStyle="1" w:styleId="494">
    <w:name w:val="网格表 31"/>
    <w:basedOn w:val="2"/>
    <w:next w:val="1"/>
    <w:unhideWhenUsed/>
    <w:qFormat/>
    <w:uiPriority w:val="39"/>
    <w:pPr>
      <w:pageBreakBefore w:val="0"/>
      <w:spacing w:before="480" w:beforeLines="50" w:line="276" w:lineRule="auto"/>
      <w:ind w:left="425" w:hanging="425"/>
      <w:outlineLvl w:val="9"/>
    </w:pPr>
    <w:rPr>
      <w:rFonts w:ascii="Cambria" w:hAnsi="Cambria"/>
      <w:color w:val="365F91"/>
      <w:kern w:val="0"/>
      <w:sz w:val="28"/>
      <w:szCs w:val="28"/>
    </w:rPr>
  </w:style>
  <w:style w:type="paragraph" w:customStyle="1" w:styleId="495">
    <w:name w:val="M标题1"/>
    <w:basedOn w:val="1"/>
    <w:link w:val="501"/>
    <w:qFormat/>
    <w:uiPriority w:val="0"/>
    <w:pPr>
      <w:keepNext/>
      <w:keepLines/>
      <w:snapToGrid w:val="0"/>
      <w:spacing w:before="50" w:beforeLines="50" w:line="480" w:lineRule="auto"/>
      <w:ind w:left="425" w:hanging="425"/>
      <w:jc w:val="center"/>
      <w:outlineLvl w:val="0"/>
    </w:pPr>
    <w:rPr>
      <w:rFonts w:ascii="Calibri" w:hAnsi="Calibri"/>
      <w:b/>
      <w:bCs/>
      <w:kern w:val="44"/>
      <w:sz w:val="44"/>
      <w:szCs w:val="44"/>
    </w:rPr>
  </w:style>
  <w:style w:type="paragraph" w:customStyle="1" w:styleId="496">
    <w:name w:val="表文字"/>
    <w:qFormat/>
    <w:uiPriority w:val="0"/>
    <w:pPr>
      <w:widowControl w:val="0"/>
      <w:topLinePunct/>
      <w:adjustRightInd w:val="0"/>
      <w:spacing w:line="270" w:lineRule="exact"/>
      <w:jc w:val="center"/>
    </w:pPr>
    <w:rPr>
      <w:rFonts w:ascii="Times New Roman" w:hAnsi="Times New Roman" w:eastAsia="宋体" w:cs="Times New Roman"/>
      <w:kern w:val="18"/>
      <w:sz w:val="18"/>
      <w:lang w:val="en-US" w:eastAsia="zh-CN" w:bidi="ar-SA"/>
    </w:rPr>
  </w:style>
  <w:style w:type="paragraph" w:customStyle="1" w:styleId="497">
    <w:name w:val="表题"/>
    <w:basedOn w:val="1"/>
    <w:qFormat/>
    <w:uiPriority w:val="0"/>
    <w:pPr>
      <w:tabs>
        <w:tab w:val="left" w:pos="8550"/>
      </w:tabs>
      <w:topLinePunct/>
      <w:adjustRightInd w:val="0"/>
      <w:spacing w:before="280" w:beforeLines="50" w:after="40"/>
      <w:jc w:val="center"/>
    </w:pPr>
    <w:rPr>
      <w:rFonts w:ascii="Arial" w:hAnsi="Arial" w:eastAsia="黑体"/>
      <w:color w:val="000000"/>
      <w:kern w:val="21"/>
      <w:sz w:val="18"/>
      <w:szCs w:val="20"/>
      <w:lang w:val="en-GB"/>
    </w:rPr>
  </w:style>
  <w:style w:type="paragraph" w:customStyle="1" w:styleId="498">
    <w:name w:val="正文样"/>
    <w:basedOn w:val="1"/>
    <w:qFormat/>
    <w:uiPriority w:val="0"/>
    <w:pPr>
      <w:spacing w:before="50" w:beforeLines="50"/>
    </w:pPr>
    <w:rPr>
      <w:rFonts w:cs="宋体"/>
      <w:szCs w:val="20"/>
    </w:rPr>
  </w:style>
  <w:style w:type="paragraph" w:customStyle="1" w:styleId="499">
    <w:name w:val="正文--样式 (西文) 宋体 行距: 1.5 倍行距 首行缩进:  2 字符"/>
    <w:basedOn w:val="1"/>
    <w:qFormat/>
    <w:uiPriority w:val="0"/>
    <w:pPr>
      <w:spacing w:before="50" w:beforeLines="50" w:afterLines="50"/>
    </w:pPr>
    <w:rPr>
      <w:rFonts w:ascii="宋体" w:hAnsi="宋体" w:cs="宋体"/>
      <w:szCs w:val="20"/>
    </w:rPr>
  </w:style>
  <w:style w:type="table" w:customStyle="1" w:styleId="500">
    <w:name w:val="网格型11"/>
    <w:basedOn w:val="7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1">
    <w:name w:val="M标题1 Char"/>
    <w:link w:val="495"/>
    <w:qFormat/>
    <w:uiPriority w:val="0"/>
    <w:rPr>
      <w:rFonts w:ascii="Calibri" w:hAnsi="Calibri" w:eastAsia="宋体" w:cs="Times New Roman"/>
      <w:b/>
      <w:bCs/>
      <w:kern w:val="44"/>
      <w:sz w:val="44"/>
      <w:szCs w:val="44"/>
    </w:rPr>
  </w:style>
  <w:style w:type="paragraph" w:customStyle="1" w:styleId="502">
    <w:name w:val="无间隔1"/>
    <w:qFormat/>
    <w:uiPriority w:val="1"/>
    <w:pPr>
      <w:widowControl w:val="0"/>
      <w:ind w:firstLine="480" w:firstLineChars="200"/>
      <w:jc w:val="both"/>
    </w:pPr>
    <w:rPr>
      <w:rFonts w:ascii="宋体" w:hAnsi="宋体" w:eastAsia="宋体" w:cs="Times New Roman"/>
      <w:kern w:val="2"/>
      <w:sz w:val="24"/>
      <w:szCs w:val="24"/>
      <w:lang w:val="en-US" w:eastAsia="zh-CN" w:bidi="ar-SA"/>
    </w:rPr>
  </w:style>
  <w:style w:type="paragraph" w:customStyle="1" w:styleId="503">
    <w:name w:val="无间隔11"/>
    <w:qFormat/>
    <w:uiPriority w:val="1"/>
    <w:pPr>
      <w:widowControl w:val="0"/>
      <w:ind w:firstLine="480" w:firstLineChars="200"/>
      <w:jc w:val="both"/>
    </w:pPr>
    <w:rPr>
      <w:rFonts w:ascii="仿宋_GB2312" w:hAnsi="宋体" w:eastAsia="仿宋_GB2312" w:cs="Times New Roman"/>
      <w:kern w:val="2"/>
      <w:sz w:val="24"/>
      <w:szCs w:val="24"/>
      <w:lang w:val="en-US" w:eastAsia="zh-CN" w:bidi="ar-SA"/>
    </w:rPr>
  </w:style>
  <w:style w:type="table" w:customStyle="1" w:styleId="504">
    <w:name w:val="网格型21"/>
    <w:basedOn w:val="77"/>
    <w:qFormat/>
    <w:uiPriority w:val="39"/>
    <w:rPr>
      <w:rFonts w:ascii="仿宋" w:hAnsi="仿宋"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5">
    <w:name w:val="GP正文(首行缩进)"/>
    <w:basedOn w:val="1"/>
    <w:qFormat/>
    <w:uiPriority w:val="0"/>
    <w:pPr>
      <w:jc w:val="left"/>
    </w:pPr>
    <w:rPr>
      <w:szCs w:val="21"/>
    </w:rPr>
  </w:style>
  <w:style w:type="paragraph" w:customStyle="1" w:styleId="506">
    <w:name w:val="无间距"/>
    <w:qFormat/>
    <w:uiPriority w:val="1"/>
    <w:pPr>
      <w:widowControl w:val="0"/>
      <w:ind w:firstLine="200" w:firstLineChars="200"/>
      <w:jc w:val="both"/>
    </w:pPr>
    <w:rPr>
      <w:rFonts w:ascii="Times New Roman" w:hAnsi="Times New Roman" w:eastAsia="宋体" w:cs="Times New Roman"/>
      <w:kern w:val="2"/>
      <w:sz w:val="28"/>
      <w:szCs w:val="24"/>
      <w:lang w:val="en-US" w:eastAsia="zh-CN" w:bidi="ar-SA"/>
    </w:rPr>
  </w:style>
  <w:style w:type="character" w:customStyle="1" w:styleId="507">
    <w:name w:val="M正文 Char Char"/>
    <w:qFormat/>
    <w:uiPriority w:val="0"/>
    <w:rPr>
      <w:rFonts w:ascii="宋体" w:hAnsi="宋体"/>
      <w:sz w:val="24"/>
      <w:szCs w:val="24"/>
    </w:rPr>
  </w:style>
  <w:style w:type="table" w:customStyle="1" w:styleId="508">
    <w:name w:val="网格型3"/>
    <w:basedOn w:val="77"/>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09">
    <w:name w:val="网格型12"/>
    <w:basedOn w:val="7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0">
    <w:name w:val="浅色列表 - 着色 51"/>
    <w:qFormat/>
    <w:uiPriority w:val="34"/>
    <w:pPr>
      <w:ind w:firstLine="420" w:firstLineChars="200"/>
    </w:pPr>
    <w:rPr>
      <w:rFonts w:ascii="Calibri" w:hAnsi="Calibri" w:eastAsia="宋体" w:cs="Times New Roman"/>
    </w:rPr>
    <w:tblPr>
      <w:tblBorders>
        <w:top w:val="single" w:color="4BACC6" w:sz="8" w:space="0"/>
        <w:left w:val="single" w:color="4BACC6" w:sz="8" w:space="0"/>
        <w:bottom w:val="single" w:color="4BACC6" w:sz="8" w:space="0"/>
        <w:right w:val="single" w:color="4BACC6" w:sz="8" w:space="0"/>
      </w:tblBorders>
      <w:tblCellMar>
        <w:top w:w="0" w:type="dxa"/>
        <w:left w:w="0" w:type="dxa"/>
        <w:bottom w:w="0" w:type="dxa"/>
        <w:right w:w="0" w:type="dxa"/>
      </w:tblCellMar>
    </w:tblPr>
  </w:style>
  <w:style w:type="table" w:customStyle="1" w:styleId="511">
    <w:name w:val="中等深浅底纹 1 - 着色 21"/>
    <w:qFormat/>
    <w:uiPriority w:val="1"/>
    <w:pPr>
      <w:widowControl w:val="0"/>
      <w:spacing w:before="50" w:beforeLines="50"/>
      <w:jc w:val="both"/>
    </w:pPr>
    <w:rPr>
      <w:rFonts w:ascii="Calibri" w:hAnsi="Calibri" w:eastAsia="仿宋" w:cs="Times New Roman"/>
      <w:sz w:val="28"/>
    </w:rPr>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0" w:type="dxa"/>
        <w:bottom w:w="0" w:type="dxa"/>
        <w:right w:w="0" w:type="dxa"/>
      </w:tblCellMar>
    </w:tblPr>
  </w:style>
  <w:style w:type="table" w:customStyle="1" w:styleId="512">
    <w:name w:val="中等深浅网格 1 - 着色 31"/>
    <w:qFormat/>
    <w:uiPriority w:val="1"/>
    <w:rPr>
      <w:rFonts w:ascii="Calibri" w:hAnsi="Calibri" w:eastAsia="宋体" w:cs="Times New Roman"/>
      <w:sz w:val="22"/>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0" w:type="dxa"/>
        <w:bottom w:w="0" w:type="dxa"/>
        <w:right w:w="0" w:type="dxa"/>
      </w:tblCellMar>
    </w:tblPr>
    <w:tcPr>
      <w:shd w:val="clear" w:color="auto" w:fill="E6EED5"/>
    </w:tcPr>
  </w:style>
  <w:style w:type="table" w:customStyle="1" w:styleId="513">
    <w:name w:val="网格型22"/>
    <w:basedOn w:val="77"/>
    <w:qFormat/>
    <w:uiPriority w:val="39"/>
    <w:rPr>
      <w:rFonts w:ascii="仿宋" w:hAnsi="仿宋"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4">
    <w:name w:val="样式 样式4 + 首行缩进:  2 字符"/>
    <w:basedOn w:val="1"/>
    <w:qFormat/>
    <w:uiPriority w:val="0"/>
    <w:pPr>
      <w:keepNext/>
      <w:numPr>
        <w:ilvl w:val="0"/>
        <w:numId w:val="30"/>
      </w:numPr>
      <w:tabs>
        <w:tab w:val="clear" w:pos="840"/>
      </w:tabs>
      <w:spacing w:afterLines="50" w:line="560" w:lineRule="exact"/>
      <w:ind w:left="0" w:firstLine="582"/>
    </w:pPr>
    <w:rPr>
      <w:rFonts w:hAnsi="宋体" w:cs="宋体"/>
      <w:bCs/>
      <w:spacing w:val="5"/>
      <w:kern w:val="24"/>
      <w:sz w:val="28"/>
      <w:szCs w:val="28"/>
    </w:rPr>
  </w:style>
  <w:style w:type="paragraph" w:customStyle="1" w:styleId="515">
    <w:name w:val="表格居中加粗"/>
    <w:basedOn w:val="1"/>
    <w:link w:val="516"/>
    <w:qFormat/>
    <w:uiPriority w:val="0"/>
    <w:pPr>
      <w:widowControl/>
      <w:shd w:val="clear" w:color="auto" w:fill="FFFFFF"/>
      <w:spacing w:line="240" w:lineRule="auto"/>
      <w:ind w:firstLine="0" w:firstLineChars="0"/>
      <w:jc w:val="center"/>
    </w:pPr>
    <w:rPr>
      <w:b/>
      <w:lang w:eastAsia="en-US" w:bidi="en-US"/>
    </w:rPr>
  </w:style>
  <w:style w:type="character" w:customStyle="1" w:styleId="516">
    <w:name w:val="表格居中加粗 字符"/>
    <w:basedOn w:val="85"/>
    <w:link w:val="515"/>
    <w:qFormat/>
    <w:uiPriority w:val="0"/>
    <w:rPr>
      <w:rFonts w:ascii="Times New Roman" w:hAnsi="Times New Roman" w:eastAsia="宋体" w:cs="Times New Roman"/>
      <w:b/>
      <w:sz w:val="24"/>
      <w:szCs w:val="24"/>
      <w:shd w:val="clear" w:color="auto" w:fill="FFFFFF"/>
      <w:lang w:eastAsia="en-US" w:bidi="en-US"/>
    </w:rPr>
  </w:style>
  <w:style w:type="paragraph" w:customStyle="1" w:styleId="517">
    <w:name w:val="表名"/>
    <w:link w:val="518"/>
    <w:qFormat/>
    <w:uiPriority w:val="0"/>
    <w:pPr>
      <w:widowControl w:val="0"/>
      <w:jc w:val="center"/>
    </w:pPr>
    <w:rPr>
      <w:rFonts w:ascii="黑体" w:hAnsi="宋体" w:eastAsia="黑体" w:cs="Times New Roman"/>
      <w:bCs/>
      <w:sz w:val="36"/>
      <w:szCs w:val="44"/>
      <w:lang w:val="en-US" w:eastAsia="zh-CN" w:bidi="ar-SA"/>
    </w:rPr>
  </w:style>
  <w:style w:type="character" w:customStyle="1" w:styleId="518">
    <w:name w:val="表名 字符"/>
    <w:basedOn w:val="85"/>
    <w:link w:val="517"/>
    <w:qFormat/>
    <w:uiPriority w:val="0"/>
    <w:rPr>
      <w:rFonts w:ascii="黑体" w:hAnsi="宋体" w:eastAsia="黑体" w:cs="Times New Roman"/>
      <w:bCs/>
      <w:kern w:val="0"/>
      <w:sz w:val="36"/>
      <w:szCs w:val="44"/>
    </w:rPr>
  </w:style>
  <w:style w:type="paragraph" w:customStyle="1" w:styleId="519">
    <w:name w:val="表格正文"/>
    <w:basedOn w:val="1"/>
    <w:link w:val="520"/>
    <w:qFormat/>
    <w:uiPriority w:val="0"/>
    <w:pPr>
      <w:ind w:firstLine="0" w:firstLineChars="0"/>
    </w:pPr>
    <w:rPr>
      <w:szCs w:val="20"/>
    </w:rPr>
  </w:style>
  <w:style w:type="character" w:customStyle="1" w:styleId="520">
    <w:name w:val="表格正文 字符"/>
    <w:basedOn w:val="85"/>
    <w:link w:val="519"/>
    <w:qFormat/>
    <w:uiPriority w:val="0"/>
    <w:rPr>
      <w:rFonts w:ascii="Times New Roman" w:hAnsi="Times New Roman" w:eastAsia="宋体" w:cs="Times New Roman"/>
      <w:sz w:val="24"/>
      <w:szCs w:val="20"/>
    </w:rPr>
  </w:style>
  <w:style w:type="paragraph" w:customStyle="1" w:styleId="521">
    <w:name w:val="点"/>
    <w:link w:val="522"/>
    <w:qFormat/>
    <w:uiPriority w:val="0"/>
    <w:pPr>
      <w:widowControl w:val="0"/>
      <w:spacing w:line="360" w:lineRule="auto"/>
      <w:ind w:left="960" w:hanging="420"/>
      <w:jc w:val="both"/>
    </w:pPr>
    <w:rPr>
      <w:rFonts w:ascii="宋体" w:hAnsi="宋体" w:eastAsia="宋体" w:cstheme="minorBidi"/>
      <w:kern w:val="2"/>
      <w:sz w:val="24"/>
      <w:szCs w:val="22"/>
      <w:lang w:val="en-US" w:eastAsia="zh-CN" w:bidi="ar-SA"/>
    </w:rPr>
  </w:style>
  <w:style w:type="character" w:customStyle="1" w:styleId="522">
    <w:name w:val="点 字符"/>
    <w:basedOn w:val="85"/>
    <w:link w:val="521"/>
    <w:qFormat/>
    <w:uiPriority w:val="0"/>
    <w:rPr>
      <w:rFonts w:ascii="宋体" w:hAnsi="宋体" w:eastAsia="宋体"/>
      <w:sz w:val="24"/>
    </w:rPr>
  </w:style>
  <w:style w:type="paragraph" w:customStyle="1" w:styleId="523">
    <w:name w:val="纯文本2"/>
    <w:basedOn w:val="1"/>
    <w:qFormat/>
    <w:uiPriority w:val="0"/>
    <w:rPr>
      <w:szCs w:val="20"/>
    </w:rPr>
  </w:style>
  <w:style w:type="paragraph" w:customStyle="1" w:styleId="524">
    <w:name w:val="3级标"/>
    <w:basedOn w:val="125"/>
    <w:link w:val="525"/>
    <w:qFormat/>
    <w:uiPriority w:val="0"/>
    <w:pPr>
      <w:widowControl/>
      <w:numPr>
        <w:ilvl w:val="1"/>
        <w:numId w:val="31"/>
      </w:numPr>
      <w:spacing w:line="240" w:lineRule="auto"/>
      <w:ind w:firstLineChars="0"/>
      <w:jc w:val="left"/>
      <w:outlineLvl w:val="2"/>
    </w:pPr>
    <w:rPr>
      <w:szCs w:val="36"/>
    </w:rPr>
  </w:style>
  <w:style w:type="character" w:customStyle="1" w:styleId="525">
    <w:name w:val="3级标 字符"/>
    <w:basedOn w:val="85"/>
    <w:link w:val="524"/>
    <w:qFormat/>
    <w:uiPriority w:val="0"/>
    <w:rPr>
      <w:rFonts w:ascii="Times New Roman" w:hAnsi="Times New Roman" w:eastAsia="楷体" w:cs="Times New Roman"/>
      <w:kern w:val="2"/>
      <w:sz w:val="32"/>
      <w:szCs w:val="36"/>
    </w:rPr>
  </w:style>
  <w:style w:type="paragraph" w:customStyle="1" w:styleId="526">
    <w:name w:val="4级标"/>
    <w:basedOn w:val="125"/>
    <w:qFormat/>
    <w:uiPriority w:val="0"/>
    <w:pPr>
      <w:numPr>
        <w:ilvl w:val="2"/>
        <w:numId w:val="31"/>
      </w:numPr>
      <w:spacing w:line="240" w:lineRule="auto"/>
      <w:ind w:firstLineChars="0"/>
      <w:outlineLvl w:val="3"/>
    </w:pPr>
    <w:rPr>
      <w:sz w:val="30"/>
      <w:szCs w:val="30"/>
    </w:rPr>
  </w:style>
  <w:style w:type="character" w:customStyle="1" w:styleId="527">
    <w:name w:val="题注 字符"/>
    <w:link w:val="20"/>
    <w:qFormat/>
    <w:uiPriority w:val="0"/>
    <w:rPr>
      <w:rFonts w:ascii="Arial" w:hAnsi="Arial" w:eastAsia="黑体" w:cs="Arial"/>
      <w:sz w:val="20"/>
      <w:szCs w:val="20"/>
    </w:rPr>
  </w:style>
  <w:style w:type="paragraph" w:customStyle="1" w:styleId="528">
    <w:name w:val="Item List"/>
    <w:qFormat/>
    <w:uiPriority w:val="0"/>
    <w:pPr>
      <w:tabs>
        <w:tab w:val="left" w:pos="1145"/>
      </w:tabs>
      <w:adjustRightInd w:val="0"/>
      <w:snapToGrid w:val="0"/>
      <w:spacing w:before="80" w:after="80" w:line="240" w:lineRule="atLeast"/>
      <w:ind w:left="1145" w:hanging="425"/>
    </w:pPr>
    <w:rPr>
      <w:rFonts w:cs="Arial" w:asciiTheme="minorHAnsi" w:hAnsiTheme="minorHAnsi" w:eastAsiaTheme="minorEastAsia"/>
      <w:kern w:val="2"/>
      <w:sz w:val="21"/>
      <w:szCs w:val="21"/>
      <w:lang w:val="en-US" w:eastAsia="zh-CN" w:bidi="ar-SA"/>
    </w:rPr>
  </w:style>
  <w:style w:type="character" w:customStyle="1" w:styleId="529">
    <w:name w:val="未处理的提及1"/>
    <w:basedOn w:val="85"/>
    <w:semiHidden/>
    <w:unhideWhenUsed/>
    <w:qFormat/>
    <w:uiPriority w:val="99"/>
    <w:rPr>
      <w:color w:val="605E5C"/>
      <w:shd w:val="clear" w:color="auto" w:fill="E1DFDD"/>
    </w:rPr>
  </w:style>
  <w:style w:type="character" w:customStyle="1" w:styleId="530">
    <w:name w:val="正文缩进 Char"/>
    <w:qFormat/>
    <w:uiPriority w:val="0"/>
    <w:rPr>
      <w:kern w:val="2"/>
      <w:sz w:val="21"/>
      <w:szCs w:val="21"/>
    </w:rPr>
  </w:style>
  <w:style w:type="paragraph" w:customStyle="1" w:styleId="531">
    <w:name w:val="3333333333333333"/>
    <w:basedOn w:val="1"/>
    <w:qFormat/>
    <w:uiPriority w:val="0"/>
    <w:pPr>
      <w:keepNext/>
      <w:keepLines/>
      <w:numPr>
        <w:ilvl w:val="2"/>
        <w:numId w:val="32"/>
      </w:numPr>
      <w:ind w:firstLineChars="0"/>
      <w:outlineLvl w:val="2"/>
    </w:pPr>
    <w:rPr>
      <w:rFonts w:cstheme="minorBidi"/>
      <w:b/>
      <w:bCs/>
      <w:szCs w:val="32"/>
    </w:rPr>
  </w:style>
  <w:style w:type="paragraph" w:customStyle="1" w:styleId="532">
    <w:name w:val="2级"/>
    <w:next w:val="1"/>
    <w:qFormat/>
    <w:uiPriority w:val="0"/>
    <w:pPr>
      <w:keepNext/>
      <w:keepLines/>
      <w:numPr>
        <w:ilvl w:val="1"/>
        <w:numId w:val="32"/>
      </w:numPr>
      <w:outlineLvl w:val="1"/>
    </w:pPr>
    <w:rPr>
      <w:rFonts w:ascii="宋体" w:hAnsi="宋体" w:eastAsia="宋体" w:cstheme="majorBidi"/>
      <w:b/>
      <w:bCs/>
      <w:kern w:val="2"/>
      <w:sz w:val="36"/>
      <w:szCs w:val="32"/>
      <w:lang w:val="en-US" w:eastAsia="zh-CN" w:bidi="ar-SA"/>
    </w:rPr>
  </w:style>
  <w:style w:type="paragraph" w:customStyle="1" w:styleId="533">
    <w:name w:val="4444444444444444444444444444"/>
    <w:basedOn w:val="1"/>
    <w:qFormat/>
    <w:uiPriority w:val="0"/>
    <w:pPr>
      <w:keepNext/>
      <w:keepLines/>
      <w:numPr>
        <w:ilvl w:val="3"/>
        <w:numId w:val="32"/>
      </w:numPr>
      <w:ind w:firstLineChars="0"/>
      <w:outlineLvl w:val="3"/>
    </w:pPr>
    <w:rPr>
      <w:rFonts w:ascii="宋体" w:hAnsi="宋体"/>
      <w:b/>
      <w:bCs/>
      <w:sz w:val="28"/>
      <w:szCs w:val="28"/>
    </w:rPr>
  </w:style>
  <w:style w:type="paragraph" w:customStyle="1" w:styleId="534">
    <w:name w:val="555555555555555555555"/>
    <w:basedOn w:val="1"/>
    <w:qFormat/>
    <w:uiPriority w:val="0"/>
    <w:pPr>
      <w:keepNext/>
      <w:keepLines/>
      <w:numPr>
        <w:ilvl w:val="4"/>
        <w:numId w:val="32"/>
      </w:numPr>
      <w:ind w:firstLineChars="0"/>
      <w:outlineLvl w:val="4"/>
    </w:pPr>
    <w:rPr>
      <w:rFonts w:cstheme="minorBidi"/>
      <w:b/>
      <w:bCs/>
      <w:sz w:val="28"/>
      <w:szCs w:val="28"/>
    </w:rPr>
  </w:style>
  <w:style w:type="paragraph" w:customStyle="1" w:styleId="535">
    <w:name w:val="大写"/>
    <w:basedOn w:val="1"/>
    <w:qFormat/>
    <w:uiPriority w:val="0"/>
    <w:pPr>
      <w:keepNext/>
      <w:keepLines/>
      <w:numPr>
        <w:ilvl w:val="0"/>
        <w:numId w:val="32"/>
      </w:numPr>
      <w:ind w:left="425" w:hanging="425" w:firstLineChars="0"/>
      <w:outlineLvl w:val="0"/>
    </w:pPr>
    <w:rPr>
      <w:rFonts w:ascii="Arial" w:hAnsi="Arial"/>
      <w:b/>
      <w:bCs/>
      <w:kern w:val="44"/>
      <w:sz w:val="36"/>
      <w:szCs w:val="44"/>
    </w:rPr>
  </w:style>
  <w:style w:type="paragraph" w:customStyle="1" w:styleId="536">
    <w:name w:val="落款"/>
    <w:basedOn w:val="19"/>
    <w:link w:val="539"/>
    <w:qFormat/>
    <w:uiPriority w:val="0"/>
    <w:pPr>
      <w:tabs>
        <w:tab w:val="left" w:pos="2940"/>
      </w:tabs>
      <w:overflowPunct w:val="0"/>
      <w:spacing w:line="360" w:lineRule="auto"/>
      <w:jc w:val="right"/>
    </w:pPr>
    <w:rPr>
      <w:sz w:val="24"/>
      <w:szCs w:val="24"/>
    </w:rPr>
  </w:style>
  <w:style w:type="character" w:customStyle="1" w:styleId="537">
    <w:name w:val="Plain Text Char Char"/>
    <w:link w:val="538"/>
    <w:qFormat/>
    <w:uiPriority w:val="0"/>
    <w:rPr>
      <w:rFonts w:ascii="宋体" w:hAnsi="Courier New" w:eastAsia="楷体_GB2312"/>
      <w:sz w:val="28"/>
    </w:rPr>
  </w:style>
  <w:style w:type="paragraph" w:customStyle="1" w:styleId="538">
    <w:name w:val="纯文本1"/>
    <w:basedOn w:val="1"/>
    <w:link w:val="537"/>
    <w:qFormat/>
    <w:uiPriority w:val="0"/>
    <w:pPr>
      <w:adjustRightInd w:val="0"/>
      <w:spacing w:line="240" w:lineRule="auto"/>
      <w:ind w:firstLine="0" w:firstLineChars="0"/>
    </w:pPr>
    <w:rPr>
      <w:rFonts w:ascii="宋体" w:hAnsi="Courier New" w:eastAsia="楷体_GB2312" w:cstheme="minorBidi"/>
      <w:sz w:val="28"/>
      <w:szCs w:val="22"/>
    </w:rPr>
  </w:style>
  <w:style w:type="character" w:customStyle="1" w:styleId="539">
    <w:name w:val="落款 字符"/>
    <w:basedOn w:val="134"/>
    <w:link w:val="536"/>
    <w:qFormat/>
    <w:uiPriority w:val="0"/>
    <w:rPr>
      <w:rFonts w:ascii="Times New Roman" w:hAnsi="Times New Roman" w:eastAsia="宋体" w:cs="Times New Roman"/>
      <w:sz w:val="24"/>
      <w:szCs w:val="24"/>
    </w:rPr>
  </w:style>
  <w:style w:type="paragraph" w:customStyle="1" w:styleId="540">
    <w:name w:val="纯文本11"/>
    <w:basedOn w:val="1"/>
    <w:qFormat/>
    <w:uiPriority w:val="0"/>
    <w:pPr>
      <w:widowControl/>
      <w:adjustRightInd w:val="0"/>
      <w:spacing w:line="240" w:lineRule="auto"/>
      <w:ind w:firstLine="0" w:firstLineChars="0"/>
      <w:jc w:val="left"/>
      <w:textAlignment w:val="baseline"/>
    </w:pPr>
    <w:rPr>
      <w:rFonts w:ascii="宋体" w:hAnsi="Courier New" w:eastAsia="楷体_GB2312"/>
      <w:kern w:val="0"/>
      <w:sz w:val="26"/>
      <w:szCs w:val="20"/>
    </w:rPr>
  </w:style>
  <w:style w:type="paragraph" w:customStyle="1" w:styleId="541">
    <w:name w:val="Plain Text2"/>
    <w:basedOn w:val="1"/>
    <w:qFormat/>
    <w:uiPriority w:val="0"/>
    <w:pPr>
      <w:adjustRightInd w:val="0"/>
      <w:spacing w:line="240" w:lineRule="auto"/>
      <w:ind w:firstLine="0" w:firstLineChars="0"/>
      <w:textAlignment w:val="baseline"/>
    </w:pPr>
    <w:rPr>
      <w:rFonts w:ascii="宋体" w:hAnsi="Courier New" w:eastAsia="楷体_GB2312"/>
      <w:sz w:val="28"/>
      <w:szCs w:val="20"/>
    </w:rPr>
  </w:style>
  <w:style w:type="character" w:customStyle="1" w:styleId="542">
    <w:name w:val="样式 仿宋"/>
    <w:qFormat/>
    <w:uiPriority w:val="0"/>
    <w:rPr>
      <w:rFonts w:hint="eastAsia" w:ascii="仿宋" w:hAnsi="仿宋" w:eastAsia="仿宋"/>
      <w:kern w:val="2"/>
    </w:rPr>
  </w:style>
  <w:style w:type="paragraph" w:customStyle="1" w:styleId="543">
    <w:name w:val="TOC 标题2"/>
    <w:basedOn w:val="2"/>
    <w:next w:val="1"/>
    <w:unhideWhenUsed/>
    <w:qFormat/>
    <w:uiPriority w:val="39"/>
    <w:pPr>
      <w:pageBreakBefore w:val="0"/>
      <w:numPr>
        <w:numId w:val="0"/>
      </w:numPr>
      <w:spacing w:before="24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544">
    <w:name w:val="样式 Arial 行距: 多倍行距 1.2 字行 首行缩进:  2 字符"/>
    <w:basedOn w:val="1"/>
    <w:qFormat/>
    <w:uiPriority w:val="0"/>
    <w:pPr>
      <w:spacing w:line="288" w:lineRule="auto"/>
      <w:ind w:firstLine="420"/>
    </w:pPr>
    <w:rPr>
      <w:rFonts w:ascii="Arial" w:hAnsi="Arial" w:eastAsia="宋体" w:cs="宋体"/>
      <w:sz w:val="20"/>
      <w:szCs w:val="20"/>
    </w:rPr>
  </w:style>
  <w:style w:type="table" w:customStyle="1" w:styleId="545">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546">
    <w:name w:val="未处理的提及2"/>
    <w:basedOn w:val="85"/>
    <w:semiHidden/>
    <w:unhideWhenUsed/>
    <w:qFormat/>
    <w:uiPriority w:val="99"/>
    <w:rPr>
      <w:color w:val="605E5C"/>
      <w:shd w:val="clear" w:color="auto" w:fill="E1DFDD"/>
    </w:rPr>
  </w:style>
  <w:style w:type="character" w:customStyle="1" w:styleId="547">
    <w:name w:val="正文文本 Char"/>
    <w:qFormat/>
    <w:uiPriority w:val="0"/>
    <w:rPr>
      <w:kern w:val="2"/>
      <w:sz w:val="21"/>
      <w:szCs w:val="24"/>
    </w:rPr>
  </w:style>
  <w:style w:type="character" w:customStyle="1" w:styleId="548">
    <w:name w:val="副标题 Char"/>
    <w:qFormat/>
    <w:uiPriority w:val="0"/>
    <w:rPr>
      <w:rFonts w:ascii="楷体" w:hAnsi="楷体" w:eastAsia="楷体"/>
      <w:b/>
      <w:bCs/>
      <w:kern w:val="2"/>
      <w:sz w:val="32"/>
      <w:szCs w:val="32"/>
    </w:rPr>
  </w:style>
  <w:style w:type="character" w:customStyle="1" w:styleId="549">
    <w:name w:val="font21"/>
    <w:basedOn w:val="85"/>
    <w:qFormat/>
    <w:uiPriority w:val="0"/>
    <w:rPr>
      <w:rFonts w:hint="default" w:ascii="Times New Roman" w:hAnsi="Times New Roman" w:cs="Times New Roman"/>
      <w:color w:val="000000"/>
      <w:sz w:val="21"/>
      <w:szCs w:val="21"/>
      <w:u w:val="none"/>
    </w:rPr>
  </w:style>
  <w:style w:type="character" w:customStyle="1" w:styleId="550">
    <w:name w:val="标题 6 Char"/>
    <w:semiHidden/>
    <w:qFormat/>
    <w:uiPriority w:val="0"/>
    <w:rPr>
      <w:rFonts w:ascii="Cambria" w:hAnsi="Cambria" w:eastAsia="宋体" w:cs="Times New Roman"/>
      <w:b/>
      <w:bCs/>
      <w:kern w:val="2"/>
      <w:sz w:val="24"/>
      <w:szCs w:val="24"/>
    </w:rPr>
  </w:style>
  <w:style w:type="character" w:customStyle="1" w:styleId="551">
    <w:name w:val="页眉 Char"/>
    <w:qFormat/>
    <w:uiPriority w:val="0"/>
    <w:rPr>
      <w:kern w:val="2"/>
      <w:sz w:val="18"/>
      <w:szCs w:val="18"/>
    </w:rPr>
  </w:style>
  <w:style w:type="character" w:customStyle="1" w:styleId="552">
    <w:name w:val="标题 5 Char"/>
    <w:semiHidden/>
    <w:qFormat/>
    <w:uiPriority w:val="0"/>
    <w:rPr>
      <w:b/>
      <w:bCs/>
      <w:kern w:val="2"/>
      <w:sz w:val="28"/>
      <w:szCs w:val="28"/>
    </w:rPr>
  </w:style>
  <w:style w:type="character" w:customStyle="1" w:styleId="553">
    <w:name w:val="日期 Char"/>
    <w:qFormat/>
    <w:uiPriority w:val="0"/>
    <w:rPr>
      <w:kern w:val="2"/>
      <w:sz w:val="21"/>
      <w:szCs w:val="24"/>
    </w:rPr>
  </w:style>
  <w:style w:type="character" w:customStyle="1" w:styleId="554">
    <w:name w:val="文档结构图 Char"/>
    <w:qFormat/>
    <w:uiPriority w:val="0"/>
    <w:rPr>
      <w:rFonts w:ascii="宋体"/>
      <w:kern w:val="2"/>
      <w:sz w:val="18"/>
      <w:szCs w:val="18"/>
    </w:rPr>
  </w:style>
  <w:style w:type="character" w:customStyle="1" w:styleId="555">
    <w:name w:val="font31"/>
    <w:basedOn w:val="85"/>
    <w:qFormat/>
    <w:uiPriority w:val="0"/>
    <w:rPr>
      <w:rFonts w:hint="eastAsia" w:ascii="宋体" w:hAnsi="宋体" w:eastAsia="宋体" w:cs="宋体"/>
      <w:color w:val="000000"/>
      <w:sz w:val="21"/>
      <w:szCs w:val="21"/>
      <w:u w:val="none"/>
    </w:rPr>
  </w:style>
  <w:style w:type="character" w:customStyle="1" w:styleId="556">
    <w:name w:val="标题 2 Char"/>
    <w:qFormat/>
    <w:uiPriority w:val="0"/>
    <w:rPr>
      <w:rFonts w:ascii="Cambria" w:hAnsi="Cambria" w:eastAsia="宋体" w:cs="Times New Roman"/>
      <w:b/>
      <w:bCs/>
      <w:kern w:val="2"/>
      <w:sz w:val="32"/>
      <w:szCs w:val="32"/>
    </w:rPr>
  </w:style>
  <w:style w:type="character" w:customStyle="1" w:styleId="557">
    <w:name w:val="页脚 Char"/>
    <w:qFormat/>
    <w:uiPriority w:val="99"/>
    <w:rPr>
      <w:kern w:val="2"/>
      <w:sz w:val="18"/>
      <w:szCs w:val="18"/>
    </w:rPr>
  </w:style>
  <w:style w:type="character" w:customStyle="1" w:styleId="558">
    <w:name w:val="标题 1 Char"/>
    <w:qFormat/>
    <w:uiPriority w:val="0"/>
    <w:rPr>
      <w:b/>
      <w:bCs/>
      <w:kern w:val="44"/>
      <w:sz w:val="44"/>
      <w:szCs w:val="44"/>
    </w:rPr>
  </w:style>
  <w:style w:type="character" w:customStyle="1" w:styleId="559">
    <w:name w:val="标题 4 Char"/>
    <w:semiHidden/>
    <w:qFormat/>
    <w:uiPriority w:val="0"/>
    <w:rPr>
      <w:rFonts w:ascii="Cambria" w:hAnsi="Cambria" w:eastAsia="宋体" w:cs="Times New Roman"/>
      <w:b/>
      <w:bCs/>
      <w:kern w:val="2"/>
      <w:sz w:val="28"/>
      <w:szCs w:val="28"/>
    </w:rPr>
  </w:style>
  <w:style w:type="character" w:customStyle="1" w:styleId="560">
    <w:name w:val="批注框文本 Char"/>
    <w:qFormat/>
    <w:uiPriority w:val="0"/>
    <w:rPr>
      <w:kern w:val="2"/>
      <w:sz w:val="18"/>
      <w:szCs w:val="18"/>
    </w:rPr>
  </w:style>
  <w:style w:type="paragraph" w:customStyle="1" w:styleId="561">
    <w:name w:val="标题4"/>
    <w:basedOn w:val="5"/>
    <w:qFormat/>
    <w:uiPriority w:val="0"/>
    <w:pPr>
      <w:widowControl w:val="0"/>
      <w:spacing w:after="120" w:line="360" w:lineRule="auto"/>
      <w:ind w:left="2268" w:hanging="1134"/>
      <w:jc w:val="both"/>
    </w:pPr>
    <w:rPr>
      <w:rFonts w:ascii="Calibri Light" w:hAnsi="Calibri Light" w:eastAsia="楷体"/>
      <w:sz w:val="30"/>
    </w:rPr>
  </w:style>
  <w:style w:type="paragraph" w:customStyle="1" w:styleId="562">
    <w:name w:val="TOC 标题3"/>
    <w:basedOn w:val="2"/>
    <w:next w:val="1"/>
    <w:unhideWhenUsed/>
    <w:qFormat/>
    <w:uiPriority w:val="39"/>
    <w:pPr>
      <w:pageBreakBefore w:val="0"/>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563">
    <w:name w:val="FC正文"/>
    <w:basedOn w:val="1"/>
    <w:link w:val="564"/>
    <w:qFormat/>
    <w:uiPriority w:val="0"/>
    <w:pPr>
      <w:snapToGrid w:val="0"/>
      <w:spacing w:before="50" w:beforeLines="50" w:after="50" w:afterLines="50" w:line="360" w:lineRule="auto"/>
      <w:contextualSpacing/>
    </w:pPr>
    <w:rPr>
      <w:rFonts w:eastAsia="宋体" w:asciiTheme="minorEastAsia" w:hAnsiTheme="minorEastAsia" w:cstheme="minorEastAsia"/>
      <w:sz w:val="24"/>
      <w:szCs w:val="21"/>
    </w:rPr>
  </w:style>
  <w:style w:type="character" w:customStyle="1" w:styleId="564">
    <w:name w:val="FC正文 Char"/>
    <w:basedOn w:val="85"/>
    <w:link w:val="563"/>
    <w:qFormat/>
    <w:uiPriority w:val="0"/>
    <w:rPr>
      <w:rFonts w:eastAsia="宋体" w:asciiTheme="minorEastAsia" w:hAnsiTheme="minorEastAsia" w:cstheme="minorEastAsia"/>
      <w:kern w:val="2"/>
      <w:sz w:val="24"/>
      <w:szCs w:val="21"/>
    </w:rPr>
  </w:style>
  <w:style w:type="paragraph" w:customStyle="1" w:styleId="565">
    <w:name w:val="正文（缩进）"/>
    <w:basedOn w:val="1"/>
    <w:qFormat/>
    <w:uiPriority w:val="0"/>
    <w:pPr>
      <w:widowControl/>
      <w:spacing w:before="120" w:after="120" w:line="360" w:lineRule="auto"/>
      <w:jc w:val="left"/>
    </w:pPr>
    <w:rPr>
      <w:rFonts w:ascii="宋体" w:hAnsi="宋体" w:eastAsia="宋体" w:cs="Times New Roman (正文 CS 字体)"/>
      <w:sz w:val="24"/>
    </w:rPr>
  </w:style>
  <w:style w:type="paragraph" w:customStyle="1" w:styleId="566">
    <w:name w:val="GP正文(无首行缩进)"/>
    <w:basedOn w:val="1"/>
    <w:qFormat/>
    <w:uiPriority w:val="0"/>
    <w:pPr>
      <w:spacing w:line="360" w:lineRule="auto"/>
      <w:ind w:firstLine="480"/>
    </w:pPr>
    <w:rPr>
      <w:rFonts w:hAnsi="宋体"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7554</Words>
  <Characters>43063</Characters>
  <Lines>358</Lines>
  <Paragraphs>101</Paragraphs>
  <TotalTime>285</TotalTime>
  <ScaleCrop>false</ScaleCrop>
  <LinksUpToDate>false</LinksUpToDate>
  <CharactersWithSpaces>50516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2018-10-20T19:41:00Z</dcterms:created>
  <dc:creator>韩 启明</dc:creator>
  <cp:lastModifiedBy>Life</cp:lastModifiedBy>
  <cp:lastPrinted>2022-03-22T02:36:00Z</cp:lastPrinted>
  <dcterms:modified xsi:type="dcterms:W3CDTF">2025-08-27T17:25:31Z</dcterms:modified>
  <cp:revision>535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505FA05B7EE47C300BCFAE68222A949F_43</vt:lpwstr>
  </property>
</Properties>
</file>