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简体" w:hAnsi="方正小标宋简体" w:eastAsia="方正小标宋简体" w:cs="方正小标宋简体"/>
          <w:i w:val="0"/>
          <w:caps w:val="0"/>
          <w:color w:val="333333"/>
          <w:spacing w:val="0"/>
          <w:sz w:val="44"/>
          <w:szCs w:val="44"/>
          <w:highlight w:val="none"/>
          <w:shd w:val="clear" w:color="auto" w:fill="FFFFFF"/>
          <w:lang w:val="en-US" w:eastAsia="zh-CN"/>
        </w:rPr>
      </w:pPr>
      <w:r>
        <w:rPr>
          <w:rFonts w:hint="eastAsia" w:ascii="方正小标宋简体" w:hAnsi="方正小标宋简体" w:eastAsia="方正小标宋简体" w:cs="方正小标宋简体"/>
          <w:i w:val="0"/>
          <w:caps w:val="0"/>
          <w:color w:val="333333"/>
          <w:spacing w:val="0"/>
          <w:sz w:val="44"/>
          <w:szCs w:val="44"/>
          <w:highlight w:val="none"/>
          <w:shd w:val="clear" w:color="auto" w:fill="FFFFFF"/>
          <w:lang w:val="en-US" w:eastAsia="zh-CN"/>
        </w:rPr>
        <w:t xml:space="preserve">                                                                                             </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简体" w:hAnsi="方正小标宋简体" w:eastAsia="方正小标宋简体" w:cs="方正小标宋简体"/>
          <w:i w:val="0"/>
          <w:caps w:val="0"/>
          <w:color w:val="333333"/>
          <w:spacing w:val="0"/>
          <w:sz w:val="44"/>
          <w:szCs w:val="44"/>
          <w:highlight w:val="none"/>
          <w:shd w:val="clear" w:color="auto" w:fill="FFFFFF"/>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简体" w:hAnsi="方正小标宋简体" w:eastAsia="方正小标宋简体" w:cs="方正小标宋简体"/>
          <w:i w:val="0"/>
          <w:caps w:val="0"/>
          <w:color w:val="333333"/>
          <w:spacing w:val="0"/>
          <w:sz w:val="44"/>
          <w:szCs w:val="44"/>
          <w:highlight w:val="none"/>
          <w:shd w:val="clear" w:color="auto" w:fill="FFFFFF"/>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简体" w:hAnsi="方正小标宋简体" w:eastAsia="方正小标宋简体" w:cs="方正小标宋简体"/>
          <w:i w:val="0"/>
          <w:caps w:val="0"/>
          <w:color w:val="333333"/>
          <w:spacing w:val="0"/>
          <w:sz w:val="44"/>
          <w:szCs w:val="44"/>
          <w:highlight w:val="none"/>
          <w:shd w:val="clear" w:color="auto" w:fill="FFFFFF"/>
          <w:lang w:val="en-US" w:eastAsia="zh-CN"/>
        </w:rPr>
      </w:pPr>
    </w:p>
    <w:p>
      <w:pPr>
        <w:keepNext w:val="0"/>
        <w:keepLines w:val="0"/>
        <w:pageBreakBefore w:val="0"/>
        <w:widowControl/>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简体" w:hAnsi="方正小标宋简体" w:eastAsia="方正小标宋简体" w:cs="方正小标宋简体"/>
          <w:i w:val="0"/>
          <w:caps w:val="0"/>
          <w:color w:val="333333"/>
          <w:spacing w:val="0"/>
          <w:sz w:val="44"/>
          <w:szCs w:val="44"/>
          <w:highlight w:val="none"/>
          <w:shd w:val="clear" w:color="auto" w:fill="FFFFFF"/>
          <w:lang w:eastAsia="zh-CN"/>
        </w:rPr>
      </w:pPr>
      <w:r>
        <w:rPr>
          <w:rFonts w:hint="eastAsia" w:ascii="方正小标宋简体" w:hAnsi="方正小标宋简体" w:eastAsia="方正小标宋简体" w:cs="方正小标宋简体"/>
          <w:i w:val="0"/>
          <w:caps w:val="0"/>
          <w:color w:val="333333"/>
          <w:spacing w:val="0"/>
          <w:sz w:val="44"/>
          <w:szCs w:val="44"/>
          <w:highlight w:val="none"/>
          <w:shd w:val="clear" w:color="auto" w:fill="FFFFFF"/>
          <w:lang w:eastAsia="zh-CN"/>
        </w:rPr>
        <w:t>保定市生态环境局</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jc w:val="center"/>
        <w:textAlignment w:val="auto"/>
        <w:rPr>
          <w:rFonts w:hint="eastAsia" w:ascii="仿宋" w:hAnsi="仿宋" w:eastAsia="仿宋" w:cs="宋体"/>
          <w:b w:val="0"/>
          <w:bCs w:val="0"/>
          <w:color w:val="000000"/>
          <w:kern w:val="0"/>
          <w:sz w:val="32"/>
          <w:szCs w:val="32"/>
          <w:lang w:val="en-US" w:eastAsia="zh-CN" w:bidi="ar-SA"/>
        </w:rPr>
      </w:pPr>
      <w:r>
        <w:rPr>
          <w:rFonts w:hint="eastAsia" w:ascii="方正小标宋简体" w:hAnsi="方正小标宋简体" w:eastAsia="方正小标宋简体" w:cs="方正小标宋简体"/>
          <w:i w:val="0"/>
          <w:caps w:val="0"/>
          <w:color w:val="333333"/>
          <w:spacing w:val="0"/>
          <w:sz w:val="44"/>
          <w:szCs w:val="44"/>
          <w:highlight w:val="none"/>
          <w:shd w:val="clear" w:color="auto" w:fill="FFFFFF"/>
          <w:lang w:val="en-US" w:eastAsia="zh-CN"/>
        </w:rPr>
        <w:t>2025年度生态环境行政执法报告</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outlineLvl w:val="9"/>
        <w:rPr>
          <w:rFonts w:hint="eastAsia" w:ascii="仿宋" w:hAnsi="仿宋" w:eastAsia="仿宋" w:cs="宋体"/>
          <w:b w:val="0"/>
          <w:bCs w:val="0"/>
          <w:color w:val="000000"/>
          <w:kern w:val="0"/>
          <w:sz w:val="32"/>
          <w:szCs w:val="32"/>
          <w:lang w:val="en-US" w:eastAsia="zh-CN" w:bidi="ar-SA"/>
        </w:rPr>
      </w:pPr>
      <w:r>
        <w:rPr>
          <w:rFonts w:hint="eastAsia" w:ascii="仿宋" w:hAnsi="仿宋" w:eastAsia="仿宋" w:cs="宋体"/>
          <w:b w:val="0"/>
          <w:bCs w:val="0"/>
          <w:color w:val="000000"/>
          <w:kern w:val="0"/>
          <w:sz w:val="32"/>
          <w:szCs w:val="32"/>
          <w:lang w:val="en-US" w:eastAsia="zh-CN" w:bidi="ar-SA"/>
        </w:rPr>
        <w:t>市司法局：</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 w:hAnsi="仿宋" w:eastAsia="仿宋" w:cs="宋体"/>
          <w:b w:val="0"/>
          <w:bCs w:val="0"/>
          <w:color w:val="000000"/>
          <w:kern w:val="0"/>
          <w:sz w:val="32"/>
          <w:szCs w:val="32"/>
          <w:lang w:val="en-US" w:eastAsia="zh-CN" w:bidi="ar-SA"/>
        </w:rPr>
      </w:pPr>
      <w:r>
        <w:rPr>
          <w:rFonts w:hint="eastAsia" w:ascii="仿宋" w:hAnsi="仿宋" w:eastAsia="仿宋" w:cs="宋体"/>
          <w:b w:val="0"/>
          <w:bCs w:val="0"/>
          <w:color w:val="000000"/>
          <w:kern w:val="0"/>
          <w:sz w:val="32"/>
          <w:szCs w:val="32"/>
          <w:lang w:val="en-US" w:eastAsia="zh-CN" w:bidi="ar-SA"/>
        </w:rPr>
        <w:t>按照市司法局要求，现对我市2025年度生态环境</w:t>
      </w:r>
      <w:r>
        <w:rPr>
          <w:rFonts w:hint="default" w:ascii="仿宋" w:hAnsi="仿宋" w:eastAsia="仿宋" w:cs="宋体"/>
          <w:b w:val="0"/>
          <w:bCs w:val="0"/>
          <w:color w:val="000000"/>
          <w:kern w:val="0"/>
          <w:sz w:val="32"/>
          <w:szCs w:val="32"/>
          <w:lang w:val="en-US" w:eastAsia="zh-CN" w:bidi="ar-SA"/>
        </w:rPr>
        <w:t>行政</w:t>
      </w:r>
      <w:r>
        <w:rPr>
          <w:rFonts w:hint="eastAsia" w:ascii="仿宋" w:hAnsi="仿宋" w:eastAsia="仿宋" w:cs="宋体"/>
          <w:b w:val="0"/>
          <w:bCs w:val="0"/>
          <w:color w:val="000000"/>
          <w:kern w:val="0"/>
          <w:sz w:val="32"/>
          <w:szCs w:val="32"/>
          <w:lang w:val="en-US" w:eastAsia="zh-CN" w:bidi="ar-SA"/>
        </w:rPr>
        <w:t>执法</w:t>
      </w:r>
      <w:r>
        <w:rPr>
          <w:rFonts w:hint="default" w:ascii="仿宋" w:hAnsi="仿宋" w:eastAsia="仿宋" w:cs="宋体"/>
          <w:b w:val="0"/>
          <w:bCs w:val="0"/>
          <w:color w:val="000000"/>
          <w:kern w:val="0"/>
          <w:sz w:val="32"/>
          <w:szCs w:val="32"/>
          <w:lang w:val="en-US" w:eastAsia="zh-CN" w:bidi="ar-SA"/>
        </w:rPr>
        <w:t>情况</w:t>
      </w:r>
      <w:r>
        <w:rPr>
          <w:rFonts w:hint="eastAsia" w:ascii="仿宋" w:hAnsi="仿宋" w:eastAsia="仿宋" w:cs="宋体"/>
          <w:b w:val="0"/>
          <w:bCs w:val="0"/>
          <w:color w:val="000000"/>
          <w:kern w:val="0"/>
          <w:sz w:val="32"/>
          <w:szCs w:val="32"/>
          <w:lang w:val="en-US" w:eastAsia="zh-CN" w:bidi="ar-SA"/>
        </w:rPr>
        <w:t>进行了梳理、统计和分析。现将具体</w:t>
      </w:r>
      <w:r>
        <w:rPr>
          <w:rFonts w:hint="default" w:ascii="仿宋" w:hAnsi="仿宋" w:eastAsia="仿宋" w:cs="宋体"/>
          <w:b w:val="0"/>
          <w:bCs w:val="0"/>
          <w:color w:val="000000"/>
          <w:kern w:val="0"/>
          <w:sz w:val="32"/>
          <w:szCs w:val="32"/>
          <w:lang w:val="en-US" w:eastAsia="zh-CN" w:bidi="ar-SA"/>
        </w:rPr>
        <w:t>情况</w:t>
      </w:r>
      <w:r>
        <w:rPr>
          <w:rFonts w:hint="eastAsia" w:ascii="仿宋" w:hAnsi="仿宋" w:eastAsia="仿宋" w:cs="宋体"/>
          <w:b w:val="0"/>
          <w:bCs w:val="0"/>
          <w:color w:val="000000"/>
          <w:kern w:val="0"/>
          <w:sz w:val="32"/>
          <w:szCs w:val="32"/>
          <w:lang w:val="en-US" w:eastAsia="zh-CN" w:bidi="ar-SA"/>
        </w:rPr>
        <w:t>报告</w:t>
      </w:r>
      <w:r>
        <w:rPr>
          <w:rFonts w:hint="default" w:ascii="仿宋" w:hAnsi="仿宋" w:eastAsia="仿宋" w:cs="宋体"/>
          <w:b w:val="0"/>
          <w:bCs w:val="0"/>
          <w:color w:val="000000"/>
          <w:kern w:val="0"/>
          <w:sz w:val="32"/>
          <w:szCs w:val="32"/>
          <w:lang w:val="en-US" w:eastAsia="zh-CN" w:bidi="ar-SA"/>
        </w:rPr>
        <w:t>如下：</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黑体" w:hAnsi="黑体" w:eastAsia="黑体" w:cs="黑体"/>
          <w:b w:val="0"/>
          <w:bCs w:val="0"/>
          <w:color w:val="000000"/>
          <w:kern w:val="0"/>
          <w:sz w:val="32"/>
          <w:szCs w:val="32"/>
          <w:lang w:val="en-US" w:eastAsia="zh-CN" w:bidi="ar-SA"/>
        </w:rPr>
      </w:pPr>
      <w:r>
        <w:rPr>
          <w:rFonts w:hint="eastAsia" w:ascii="黑体" w:hAnsi="黑体" w:eastAsia="黑体" w:cs="黑体"/>
          <w:b w:val="0"/>
          <w:bCs w:val="0"/>
          <w:color w:val="000000"/>
          <w:kern w:val="0"/>
          <w:sz w:val="32"/>
          <w:szCs w:val="32"/>
          <w:lang w:val="en-US" w:eastAsia="zh-CN" w:bidi="ar-SA"/>
        </w:rPr>
        <w:t>一、生态环境行政处罚总体情况</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 w:hAnsi="仿宋" w:eastAsia="仿宋" w:cs="宋体"/>
          <w:b w:val="0"/>
          <w:bCs w:val="0"/>
          <w:color w:val="000000"/>
          <w:kern w:val="0"/>
          <w:sz w:val="32"/>
          <w:szCs w:val="32"/>
          <w:highlight w:val="yellow"/>
          <w:lang w:val="en-US" w:eastAsia="zh-CN" w:bidi="ar-SA"/>
        </w:rPr>
      </w:pPr>
      <w:r>
        <w:rPr>
          <w:rFonts w:hint="eastAsia" w:ascii="楷体" w:hAnsi="楷体" w:eastAsia="楷体" w:cs="楷体"/>
          <w:b/>
          <w:bCs/>
          <w:color w:val="000000"/>
          <w:kern w:val="0"/>
          <w:sz w:val="32"/>
          <w:szCs w:val="32"/>
          <w:highlight w:val="yellow"/>
          <w:lang w:val="en-US" w:eastAsia="zh-CN" w:bidi="ar-SA"/>
        </w:rPr>
        <w:t>（一）行政处罚情况</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color w:val="auto"/>
          <w:highlight w:val="yellow"/>
          <w:u w:val="none"/>
          <w:lang w:val="en-US" w:eastAsia="zh-CN"/>
        </w:rPr>
      </w:pPr>
      <w:r>
        <w:rPr>
          <w:rFonts w:hint="eastAsia" w:ascii="仿宋" w:hAnsi="仿宋" w:eastAsia="仿宋" w:cs="宋体"/>
          <w:b w:val="0"/>
          <w:bCs w:val="0"/>
          <w:color w:val="auto"/>
          <w:kern w:val="0"/>
          <w:sz w:val="32"/>
          <w:szCs w:val="32"/>
          <w:highlight w:val="yellow"/>
          <w:u w:val="none"/>
          <w:lang w:val="en-US" w:eastAsia="zh-CN" w:bidi="ar-SA"/>
        </w:rPr>
        <w:t>2025年全市生态</w:t>
      </w:r>
      <w:r>
        <w:rPr>
          <w:rFonts w:hint="default" w:ascii="仿宋" w:hAnsi="仿宋" w:eastAsia="仿宋" w:cs="宋体"/>
          <w:b w:val="0"/>
          <w:bCs w:val="0"/>
          <w:color w:val="auto"/>
          <w:kern w:val="0"/>
          <w:sz w:val="32"/>
          <w:szCs w:val="32"/>
          <w:highlight w:val="yellow"/>
          <w:u w:val="none"/>
          <w:lang w:val="en-US" w:eastAsia="zh-CN" w:bidi="ar-SA"/>
        </w:rPr>
        <w:t>环境行政处罚</w:t>
      </w:r>
      <w:r>
        <w:rPr>
          <w:rFonts w:hint="eastAsia" w:ascii="仿宋" w:hAnsi="仿宋" w:eastAsia="仿宋" w:cs="宋体"/>
          <w:b w:val="0"/>
          <w:bCs w:val="0"/>
          <w:color w:val="auto"/>
          <w:kern w:val="0"/>
          <w:sz w:val="32"/>
          <w:szCs w:val="32"/>
          <w:highlight w:val="yellow"/>
          <w:u w:val="none"/>
          <w:lang w:val="en-US" w:eastAsia="zh-CN" w:bidi="ar-SA"/>
        </w:rPr>
        <w:t>案件</w:t>
      </w:r>
      <w:r>
        <w:rPr>
          <w:rFonts w:hint="default" w:ascii="仿宋" w:hAnsi="仿宋" w:eastAsia="仿宋" w:cs="宋体"/>
          <w:b w:val="0"/>
          <w:bCs w:val="0"/>
          <w:color w:val="auto"/>
          <w:kern w:val="0"/>
          <w:sz w:val="32"/>
          <w:szCs w:val="32"/>
          <w:highlight w:val="yellow"/>
          <w:u w:val="none"/>
          <w:lang w:val="en-US" w:eastAsia="zh-CN" w:bidi="ar-SA"/>
        </w:rPr>
        <w:t>共</w:t>
      </w:r>
      <w:r>
        <w:rPr>
          <w:rFonts w:hint="eastAsia" w:ascii="仿宋" w:hAnsi="仿宋" w:eastAsia="仿宋" w:cs="宋体"/>
          <w:b w:val="0"/>
          <w:bCs w:val="0"/>
          <w:color w:val="auto"/>
          <w:kern w:val="0"/>
          <w:sz w:val="32"/>
          <w:szCs w:val="32"/>
          <w:highlight w:val="yellow"/>
          <w:u w:val="none"/>
          <w:lang w:val="en-US" w:eastAsia="zh-CN" w:bidi="ar-SA"/>
        </w:rPr>
        <w:t>249</w:t>
      </w:r>
      <w:r>
        <w:rPr>
          <w:rFonts w:hint="default" w:ascii="仿宋" w:hAnsi="仿宋" w:eastAsia="仿宋" w:cs="宋体"/>
          <w:b w:val="0"/>
          <w:bCs w:val="0"/>
          <w:color w:val="auto"/>
          <w:kern w:val="0"/>
          <w:sz w:val="32"/>
          <w:szCs w:val="32"/>
          <w:highlight w:val="yellow"/>
          <w:u w:val="none"/>
          <w:lang w:val="en-US" w:eastAsia="zh-CN" w:bidi="ar-SA"/>
        </w:rPr>
        <w:t>个，处罚金额合计</w:t>
      </w:r>
      <w:r>
        <w:rPr>
          <w:rFonts w:hint="eastAsia" w:ascii="仿宋" w:hAnsi="仿宋" w:eastAsia="仿宋" w:cs="宋体"/>
          <w:b w:val="0"/>
          <w:bCs w:val="0"/>
          <w:color w:val="auto"/>
          <w:kern w:val="0"/>
          <w:sz w:val="32"/>
          <w:szCs w:val="32"/>
          <w:highlight w:val="yellow"/>
          <w:u w:val="none"/>
          <w:lang w:val="en-US" w:eastAsia="zh-CN" w:bidi="ar-SA"/>
        </w:rPr>
        <w:t>1287.1209</w:t>
      </w:r>
      <w:r>
        <w:rPr>
          <w:rFonts w:hint="default" w:ascii="仿宋" w:hAnsi="仿宋" w:eastAsia="仿宋" w:cs="宋体"/>
          <w:b w:val="0"/>
          <w:bCs w:val="0"/>
          <w:color w:val="auto"/>
          <w:kern w:val="0"/>
          <w:sz w:val="32"/>
          <w:szCs w:val="32"/>
          <w:highlight w:val="yellow"/>
          <w:u w:val="none"/>
          <w:lang w:val="en-US" w:eastAsia="zh-CN" w:bidi="ar-SA"/>
        </w:rPr>
        <w:t>万元。</w:t>
      </w:r>
      <w:r>
        <w:rPr>
          <w:rFonts w:hint="eastAsia" w:ascii="仿宋" w:hAnsi="仿宋" w:eastAsia="仿宋" w:cs="宋体"/>
          <w:b w:val="0"/>
          <w:bCs w:val="0"/>
          <w:color w:val="auto"/>
          <w:kern w:val="0"/>
          <w:sz w:val="32"/>
          <w:szCs w:val="32"/>
          <w:highlight w:val="yellow"/>
          <w:u w:val="none"/>
          <w:lang w:val="en-US" w:eastAsia="zh-CN" w:bidi="ar-SA"/>
        </w:rPr>
        <w:t>2025年处罚案件总数同比下降了50.1%，罚款金额总数同比下降了39.84%。此外，2025年全年没收非法所得6个，限产停产10个，查封扣押5个，移送拘留14个，移送犯罪2个。</w:t>
      </w:r>
    </w:p>
    <w:tbl>
      <w:tblPr>
        <w:tblStyle w:val="6"/>
        <w:tblpPr w:leftFromText="180" w:rightFromText="180" w:vertAnchor="text" w:horzAnchor="page" w:tblpX="1548" w:tblpY="548"/>
        <w:tblOverlap w:val="never"/>
        <w:tblW w:w="86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5"/>
        <w:gridCol w:w="909"/>
        <w:gridCol w:w="914"/>
        <w:gridCol w:w="1035"/>
        <w:gridCol w:w="849"/>
        <w:gridCol w:w="743"/>
        <w:gridCol w:w="734"/>
        <w:gridCol w:w="765"/>
        <w:gridCol w:w="735"/>
        <w:gridCol w:w="12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4" w:hRule="atLeast"/>
        </w:trPr>
        <w:tc>
          <w:tcPr>
            <w:tcW w:w="755" w:type="dxa"/>
          </w:tcPr>
          <w:p>
            <w:pPr>
              <w:pStyle w:val="2"/>
              <w:keepNext w:val="0"/>
              <w:keepLines w:val="0"/>
              <w:pageBreakBefore w:val="0"/>
              <w:suppressLineNumbers w:val="0"/>
              <w:kinsoku/>
              <w:wordWrap/>
              <w:overflowPunct/>
              <w:topLinePunct w:val="0"/>
              <w:autoSpaceDE/>
              <w:autoSpaceDN/>
              <w:bidi w:val="0"/>
              <w:adjustRightInd/>
              <w:snapToGrid/>
              <w:spacing w:line="560" w:lineRule="exact"/>
              <w:ind w:left="0" w:right="0"/>
              <w:jc w:val="center"/>
              <w:textAlignment w:val="auto"/>
              <w:rPr>
                <w:rFonts w:hint="eastAsia" w:ascii="仿宋" w:hAnsi="仿宋" w:eastAsia="仿宋" w:cs="宋体"/>
                <w:b/>
                <w:bCs/>
                <w:color w:val="auto"/>
                <w:kern w:val="0"/>
                <w:sz w:val="22"/>
                <w:szCs w:val="22"/>
                <w:highlight w:val="yellow"/>
                <w:u w:val="none"/>
                <w:lang w:val="en-US" w:eastAsia="zh-CN" w:bidi="ar-SA"/>
              </w:rPr>
            </w:pPr>
            <w:r>
              <w:rPr>
                <w:rFonts w:hint="eastAsia" w:ascii="仿宋" w:hAnsi="仿宋" w:eastAsia="仿宋" w:cs="宋体"/>
                <w:b/>
                <w:bCs/>
                <w:color w:val="auto"/>
                <w:kern w:val="0"/>
                <w:sz w:val="22"/>
                <w:szCs w:val="22"/>
                <w:highlight w:val="yellow"/>
                <w:u w:val="none"/>
                <w:lang w:val="en-US" w:eastAsia="zh-CN" w:bidi="ar-SA"/>
              </w:rPr>
              <w:t>年度</w:t>
            </w:r>
          </w:p>
        </w:tc>
        <w:tc>
          <w:tcPr>
            <w:tcW w:w="909" w:type="dxa"/>
          </w:tcPr>
          <w:p>
            <w:pPr>
              <w:pStyle w:val="2"/>
              <w:keepNext w:val="0"/>
              <w:keepLines w:val="0"/>
              <w:pageBreakBefore w:val="0"/>
              <w:suppressLineNumbers w:val="0"/>
              <w:kinsoku/>
              <w:wordWrap/>
              <w:overflowPunct/>
              <w:topLinePunct w:val="0"/>
              <w:autoSpaceDE/>
              <w:autoSpaceDN/>
              <w:bidi w:val="0"/>
              <w:adjustRightInd/>
              <w:snapToGrid/>
              <w:spacing w:line="560" w:lineRule="exact"/>
              <w:ind w:left="0" w:right="0"/>
              <w:textAlignment w:val="auto"/>
              <w:rPr>
                <w:rFonts w:hint="eastAsia" w:ascii="仿宋" w:hAnsi="仿宋" w:eastAsia="仿宋" w:cs="宋体"/>
                <w:b/>
                <w:bCs/>
                <w:color w:val="auto"/>
                <w:kern w:val="0"/>
                <w:sz w:val="22"/>
                <w:szCs w:val="22"/>
                <w:highlight w:val="yellow"/>
                <w:u w:val="none"/>
                <w:lang w:val="en-US" w:eastAsia="zh-CN" w:bidi="ar-SA"/>
              </w:rPr>
            </w:pPr>
            <w:r>
              <w:rPr>
                <w:rFonts w:hint="eastAsia" w:ascii="仿宋" w:hAnsi="仿宋" w:eastAsia="仿宋" w:cs="宋体"/>
                <w:b/>
                <w:bCs/>
                <w:color w:val="auto"/>
                <w:kern w:val="0"/>
                <w:sz w:val="22"/>
                <w:szCs w:val="22"/>
                <w:highlight w:val="yellow"/>
                <w:u w:val="none"/>
                <w:lang w:val="en-US" w:eastAsia="zh-CN" w:bidi="ar-SA"/>
              </w:rPr>
              <w:t>罚款</w:t>
            </w:r>
          </w:p>
        </w:tc>
        <w:tc>
          <w:tcPr>
            <w:tcW w:w="914" w:type="dxa"/>
          </w:tcPr>
          <w:p>
            <w:pPr>
              <w:pStyle w:val="2"/>
              <w:keepNext w:val="0"/>
              <w:keepLines w:val="0"/>
              <w:pageBreakBefore w:val="0"/>
              <w:suppressLineNumbers w:val="0"/>
              <w:kinsoku/>
              <w:wordWrap/>
              <w:overflowPunct/>
              <w:topLinePunct w:val="0"/>
              <w:autoSpaceDE/>
              <w:autoSpaceDN/>
              <w:bidi w:val="0"/>
              <w:adjustRightInd/>
              <w:snapToGrid/>
              <w:spacing w:line="560" w:lineRule="exact"/>
              <w:ind w:left="0" w:right="0"/>
              <w:textAlignment w:val="auto"/>
              <w:rPr>
                <w:rFonts w:hint="eastAsia" w:ascii="仿宋" w:hAnsi="仿宋" w:eastAsia="仿宋" w:cs="宋体"/>
                <w:b/>
                <w:bCs/>
                <w:color w:val="auto"/>
                <w:kern w:val="0"/>
                <w:sz w:val="22"/>
                <w:szCs w:val="22"/>
                <w:highlight w:val="yellow"/>
                <w:u w:val="none"/>
                <w:lang w:val="en-US" w:eastAsia="zh-CN" w:bidi="ar-SA"/>
              </w:rPr>
            </w:pPr>
            <w:r>
              <w:rPr>
                <w:rFonts w:hint="eastAsia" w:ascii="仿宋" w:hAnsi="仿宋" w:eastAsia="仿宋" w:cs="宋体"/>
                <w:b/>
                <w:bCs/>
                <w:color w:val="auto"/>
                <w:kern w:val="0"/>
                <w:sz w:val="22"/>
                <w:szCs w:val="22"/>
                <w:highlight w:val="yellow"/>
                <w:u w:val="none"/>
                <w:lang w:val="en-US" w:eastAsia="zh-CN" w:bidi="ar-SA"/>
              </w:rPr>
              <w:t>没收</w:t>
            </w:r>
          </w:p>
        </w:tc>
        <w:tc>
          <w:tcPr>
            <w:tcW w:w="1035" w:type="dxa"/>
          </w:tcPr>
          <w:p>
            <w:pPr>
              <w:pStyle w:val="2"/>
              <w:keepNext w:val="0"/>
              <w:keepLines w:val="0"/>
              <w:pageBreakBefore w:val="0"/>
              <w:suppressLineNumbers w:val="0"/>
              <w:kinsoku/>
              <w:wordWrap/>
              <w:overflowPunct/>
              <w:topLinePunct w:val="0"/>
              <w:autoSpaceDE/>
              <w:autoSpaceDN/>
              <w:bidi w:val="0"/>
              <w:adjustRightInd/>
              <w:snapToGrid/>
              <w:spacing w:line="560" w:lineRule="exact"/>
              <w:ind w:left="0" w:right="0"/>
              <w:textAlignment w:val="auto"/>
              <w:rPr>
                <w:rFonts w:hint="eastAsia" w:ascii="仿宋" w:hAnsi="仿宋" w:eastAsia="仿宋" w:cs="宋体"/>
                <w:b/>
                <w:bCs/>
                <w:color w:val="auto"/>
                <w:kern w:val="0"/>
                <w:sz w:val="22"/>
                <w:szCs w:val="22"/>
                <w:highlight w:val="yellow"/>
                <w:u w:val="none"/>
                <w:lang w:val="en-US" w:eastAsia="zh-CN" w:bidi="ar-SA"/>
              </w:rPr>
            </w:pPr>
            <w:r>
              <w:rPr>
                <w:rFonts w:hint="eastAsia" w:ascii="仿宋" w:hAnsi="仿宋" w:eastAsia="仿宋" w:cs="宋体"/>
                <w:b/>
                <w:bCs/>
                <w:color w:val="auto"/>
                <w:kern w:val="0"/>
                <w:sz w:val="22"/>
                <w:szCs w:val="22"/>
                <w:highlight w:val="yellow"/>
                <w:u w:val="none"/>
                <w:lang w:val="en-US" w:eastAsia="zh-CN" w:bidi="ar-SA"/>
              </w:rPr>
              <w:t>限产停产</w:t>
            </w:r>
          </w:p>
        </w:tc>
        <w:tc>
          <w:tcPr>
            <w:tcW w:w="849" w:type="dxa"/>
          </w:tcPr>
          <w:p>
            <w:pPr>
              <w:pStyle w:val="2"/>
              <w:keepNext w:val="0"/>
              <w:keepLines w:val="0"/>
              <w:pageBreakBefore w:val="0"/>
              <w:suppressLineNumbers w:val="0"/>
              <w:kinsoku/>
              <w:wordWrap/>
              <w:overflowPunct/>
              <w:topLinePunct w:val="0"/>
              <w:autoSpaceDE/>
              <w:autoSpaceDN/>
              <w:bidi w:val="0"/>
              <w:adjustRightInd/>
              <w:snapToGrid/>
              <w:spacing w:line="560" w:lineRule="exact"/>
              <w:ind w:left="0" w:right="0"/>
              <w:textAlignment w:val="auto"/>
              <w:rPr>
                <w:rFonts w:hint="eastAsia" w:ascii="仿宋" w:hAnsi="仿宋" w:eastAsia="仿宋" w:cs="宋体"/>
                <w:b/>
                <w:bCs/>
                <w:color w:val="auto"/>
                <w:kern w:val="0"/>
                <w:sz w:val="22"/>
                <w:szCs w:val="22"/>
                <w:highlight w:val="yellow"/>
                <w:u w:val="none"/>
                <w:lang w:val="en-US" w:eastAsia="zh-CN" w:bidi="ar-SA"/>
              </w:rPr>
            </w:pPr>
            <w:r>
              <w:rPr>
                <w:rFonts w:hint="eastAsia" w:ascii="仿宋" w:hAnsi="仿宋" w:eastAsia="仿宋" w:cs="宋体"/>
                <w:b/>
                <w:bCs/>
                <w:color w:val="auto"/>
                <w:kern w:val="0"/>
                <w:sz w:val="22"/>
                <w:szCs w:val="22"/>
                <w:highlight w:val="yellow"/>
                <w:u w:val="none"/>
                <w:lang w:val="en-US" w:eastAsia="zh-CN" w:bidi="ar-SA"/>
              </w:rPr>
              <w:t>查封扣押</w:t>
            </w:r>
          </w:p>
        </w:tc>
        <w:tc>
          <w:tcPr>
            <w:tcW w:w="743" w:type="dxa"/>
          </w:tcPr>
          <w:p>
            <w:pPr>
              <w:pStyle w:val="2"/>
              <w:keepNext w:val="0"/>
              <w:keepLines w:val="0"/>
              <w:pageBreakBefore w:val="0"/>
              <w:suppressLineNumbers w:val="0"/>
              <w:kinsoku/>
              <w:wordWrap/>
              <w:overflowPunct/>
              <w:topLinePunct w:val="0"/>
              <w:autoSpaceDE/>
              <w:autoSpaceDN/>
              <w:bidi w:val="0"/>
              <w:adjustRightInd/>
              <w:snapToGrid/>
              <w:spacing w:line="560" w:lineRule="exact"/>
              <w:ind w:left="0" w:right="0"/>
              <w:textAlignment w:val="auto"/>
              <w:rPr>
                <w:rFonts w:hint="eastAsia" w:ascii="仿宋" w:hAnsi="仿宋" w:eastAsia="仿宋" w:cs="宋体"/>
                <w:b/>
                <w:bCs/>
                <w:color w:val="auto"/>
                <w:kern w:val="0"/>
                <w:sz w:val="22"/>
                <w:szCs w:val="22"/>
                <w:highlight w:val="yellow"/>
                <w:u w:val="none"/>
                <w:lang w:val="en-US" w:eastAsia="zh-CN" w:bidi="ar-SA"/>
              </w:rPr>
            </w:pPr>
            <w:r>
              <w:rPr>
                <w:rFonts w:hint="eastAsia" w:ascii="仿宋" w:hAnsi="仿宋" w:eastAsia="仿宋" w:cs="宋体"/>
                <w:b/>
                <w:bCs/>
                <w:color w:val="auto"/>
                <w:kern w:val="0"/>
                <w:sz w:val="22"/>
                <w:szCs w:val="22"/>
                <w:highlight w:val="yellow"/>
                <w:u w:val="none"/>
                <w:lang w:val="en-US" w:eastAsia="zh-CN" w:bidi="ar-SA"/>
              </w:rPr>
              <w:t>移送拘留</w:t>
            </w:r>
          </w:p>
        </w:tc>
        <w:tc>
          <w:tcPr>
            <w:tcW w:w="734" w:type="dxa"/>
          </w:tcPr>
          <w:p>
            <w:pPr>
              <w:pStyle w:val="2"/>
              <w:keepNext w:val="0"/>
              <w:keepLines w:val="0"/>
              <w:pageBreakBefore w:val="0"/>
              <w:suppressLineNumbers w:val="0"/>
              <w:kinsoku/>
              <w:wordWrap/>
              <w:overflowPunct/>
              <w:topLinePunct w:val="0"/>
              <w:autoSpaceDE/>
              <w:autoSpaceDN/>
              <w:bidi w:val="0"/>
              <w:adjustRightInd/>
              <w:snapToGrid/>
              <w:spacing w:line="560" w:lineRule="exact"/>
              <w:ind w:left="0" w:right="0"/>
              <w:textAlignment w:val="auto"/>
              <w:rPr>
                <w:rFonts w:hint="eastAsia" w:ascii="仿宋" w:hAnsi="仿宋" w:eastAsia="仿宋" w:cs="宋体"/>
                <w:b/>
                <w:bCs/>
                <w:color w:val="auto"/>
                <w:kern w:val="0"/>
                <w:sz w:val="22"/>
                <w:szCs w:val="22"/>
                <w:highlight w:val="yellow"/>
                <w:u w:val="none"/>
                <w:lang w:val="en-US" w:eastAsia="zh-CN" w:bidi="ar-SA"/>
              </w:rPr>
            </w:pPr>
            <w:r>
              <w:rPr>
                <w:rFonts w:hint="eastAsia" w:ascii="仿宋" w:hAnsi="仿宋" w:eastAsia="仿宋" w:cs="宋体"/>
                <w:b/>
                <w:bCs/>
                <w:color w:val="auto"/>
                <w:kern w:val="0"/>
                <w:sz w:val="22"/>
                <w:szCs w:val="22"/>
                <w:highlight w:val="yellow"/>
                <w:u w:val="none"/>
                <w:lang w:val="en-US" w:eastAsia="zh-CN" w:bidi="ar-SA"/>
              </w:rPr>
              <w:t>移送犯罪</w:t>
            </w:r>
          </w:p>
        </w:tc>
        <w:tc>
          <w:tcPr>
            <w:tcW w:w="765" w:type="dxa"/>
          </w:tcPr>
          <w:p>
            <w:pPr>
              <w:pStyle w:val="2"/>
              <w:keepNext w:val="0"/>
              <w:keepLines w:val="0"/>
              <w:pageBreakBefore w:val="0"/>
              <w:suppressLineNumbers w:val="0"/>
              <w:kinsoku/>
              <w:wordWrap/>
              <w:overflowPunct/>
              <w:topLinePunct w:val="0"/>
              <w:autoSpaceDE/>
              <w:autoSpaceDN/>
              <w:bidi w:val="0"/>
              <w:adjustRightInd/>
              <w:snapToGrid/>
              <w:spacing w:line="560" w:lineRule="exact"/>
              <w:ind w:left="0" w:right="0"/>
              <w:textAlignment w:val="auto"/>
              <w:rPr>
                <w:rFonts w:hint="eastAsia" w:ascii="仿宋" w:hAnsi="仿宋" w:eastAsia="仿宋" w:cs="宋体"/>
                <w:b/>
                <w:bCs/>
                <w:color w:val="auto"/>
                <w:kern w:val="0"/>
                <w:sz w:val="22"/>
                <w:szCs w:val="22"/>
                <w:highlight w:val="yellow"/>
                <w:u w:val="none"/>
                <w:lang w:val="en-US" w:eastAsia="zh-CN" w:bidi="ar-SA"/>
              </w:rPr>
            </w:pPr>
            <w:r>
              <w:rPr>
                <w:rFonts w:hint="eastAsia" w:ascii="仿宋" w:hAnsi="仿宋" w:eastAsia="仿宋" w:cs="宋体"/>
                <w:b/>
                <w:bCs/>
                <w:color w:val="auto"/>
                <w:kern w:val="0"/>
                <w:sz w:val="22"/>
                <w:szCs w:val="22"/>
                <w:highlight w:val="yellow"/>
                <w:u w:val="none"/>
                <w:lang w:val="en-US" w:eastAsia="zh-CN" w:bidi="ar-SA"/>
              </w:rPr>
              <w:t>按日计罚</w:t>
            </w:r>
          </w:p>
        </w:tc>
        <w:tc>
          <w:tcPr>
            <w:tcW w:w="735" w:type="dxa"/>
          </w:tcPr>
          <w:p>
            <w:pPr>
              <w:pStyle w:val="2"/>
              <w:keepNext w:val="0"/>
              <w:keepLines w:val="0"/>
              <w:pageBreakBefore w:val="0"/>
              <w:suppressLineNumbers w:val="0"/>
              <w:kinsoku/>
              <w:wordWrap/>
              <w:overflowPunct/>
              <w:topLinePunct w:val="0"/>
              <w:autoSpaceDE/>
              <w:autoSpaceDN/>
              <w:bidi w:val="0"/>
              <w:adjustRightInd/>
              <w:snapToGrid/>
              <w:spacing w:line="560" w:lineRule="exact"/>
              <w:ind w:left="0" w:right="0"/>
              <w:textAlignment w:val="auto"/>
              <w:rPr>
                <w:rFonts w:hint="eastAsia" w:ascii="仿宋" w:hAnsi="仿宋" w:eastAsia="仿宋" w:cs="宋体"/>
                <w:b/>
                <w:bCs/>
                <w:color w:val="auto"/>
                <w:kern w:val="0"/>
                <w:sz w:val="22"/>
                <w:szCs w:val="22"/>
                <w:highlight w:val="yellow"/>
                <w:u w:val="none"/>
                <w:lang w:val="en-US" w:eastAsia="zh-CN" w:bidi="ar-SA"/>
              </w:rPr>
            </w:pPr>
            <w:r>
              <w:rPr>
                <w:rFonts w:hint="eastAsia" w:ascii="仿宋" w:hAnsi="仿宋" w:eastAsia="仿宋" w:cs="宋体"/>
                <w:b/>
                <w:bCs/>
                <w:color w:val="auto"/>
                <w:kern w:val="0"/>
                <w:sz w:val="22"/>
                <w:szCs w:val="22"/>
                <w:highlight w:val="yellow"/>
                <w:u w:val="none"/>
                <w:lang w:val="en-US" w:eastAsia="zh-CN" w:bidi="ar-SA"/>
              </w:rPr>
              <w:t>免予处罚</w:t>
            </w:r>
          </w:p>
        </w:tc>
        <w:tc>
          <w:tcPr>
            <w:tcW w:w="1229" w:type="dxa"/>
            <w:vAlign w:val="top"/>
          </w:tcPr>
          <w:p>
            <w:pPr>
              <w:pStyle w:val="2"/>
              <w:keepNext w:val="0"/>
              <w:keepLines w:val="0"/>
              <w:pageBreakBefore w:val="0"/>
              <w:suppressLineNumbers w:val="0"/>
              <w:kinsoku/>
              <w:wordWrap/>
              <w:overflowPunct/>
              <w:topLinePunct w:val="0"/>
              <w:autoSpaceDE/>
              <w:autoSpaceDN/>
              <w:bidi w:val="0"/>
              <w:adjustRightInd/>
              <w:snapToGrid/>
              <w:spacing w:line="560" w:lineRule="exact"/>
              <w:ind w:left="0" w:right="0"/>
              <w:textAlignment w:val="auto"/>
              <w:rPr>
                <w:rFonts w:hint="eastAsia" w:ascii="仿宋" w:hAnsi="仿宋" w:eastAsia="仿宋" w:cs="宋体"/>
                <w:b/>
                <w:bCs/>
                <w:color w:val="auto"/>
                <w:kern w:val="0"/>
                <w:sz w:val="22"/>
                <w:szCs w:val="22"/>
                <w:highlight w:val="yellow"/>
                <w:u w:val="none"/>
                <w:lang w:val="en-US" w:eastAsia="zh-CN" w:bidi="ar-SA"/>
              </w:rPr>
            </w:pPr>
            <w:r>
              <w:rPr>
                <w:rFonts w:hint="eastAsia" w:ascii="仿宋" w:hAnsi="仿宋" w:eastAsia="仿宋" w:cs="宋体"/>
                <w:b/>
                <w:bCs/>
                <w:color w:val="auto"/>
                <w:kern w:val="0"/>
                <w:sz w:val="22"/>
                <w:szCs w:val="22"/>
                <w:highlight w:val="yellow"/>
                <w:u w:val="none"/>
                <w:lang w:val="en-US" w:eastAsia="zh-CN" w:bidi="ar-SA"/>
              </w:rPr>
              <w:t>罚款金额（万元）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755" w:type="dxa"/>
          </w:tcPr>
          <w:p>
            <w:pPr>
              <w:pStyle w:val="2"/>
              <w:keepNext w:val="0"/>
              <w:keepLines w:val="0"/>
              <w:pageBreakBefore w:val="0"/>
              <w:suppressLineNumbers w:val="0"/>
              <w:kinsoku/>
              <w:wordWrap/>
              <w:overflowPunct/>
              <w:topLinePunct w:val="0"/>
              <w:autoSpaceDE/>
              <w:autoSpaceDN/>
              <w:bidi w:val="0"/>
              <w:adjustRightInd/>
              <w:snapToGrid/>
              <w:spacing w:line="560" w:lineRule="exact"/>
              <w:ind w:left="0" w:right="0"/>
              <w:textAlignment w:val="auto"/>
              <w:rPr>
                <w:rFonts w:hint="default" w:ascii="仿宋" w:hAnsi="仿宋" w:eastAsia="仿宋" w:cs="宋体"/>
                <w:b w:val="0"/>
                <w:bCs w:val="0"/>
                <w:color w:val="auto"/>
                <w:kern w:val="0"/>
                <w:sz w:val="22"/>
                <w:szCs w:val="22"/>
                <w:highlight w:val="yellow"/>
                <w:u w:val="none"/>
                <w:lang w:val="en-US" w:eastAsia="zh-CN" w:bidi="ar-SA"/>
              </w:rPr>
            </w:pPr>
            <w:r>
              <w:rPr>
                <w:rFonts w:hint="eastAsia" w:ascii="仿宋" w:hAnsi="仿宋" w:eastAsia="仿宋" w:cs="宋体"/>
                <w:b w:val="0"/>
                <w:bCs w:val="0"/>
                <w:color w:val="auto"/>
                <w:kern w:val="0"/>
                <w:sz w:val="22"/>
                <w:szCs w:val="22"/>
                <w:highlight w:val="yellow"/>
                <w:u w:val="none"/>
                <w:lang w:val="en-US" w:eastAsia="zh-CN" w:bidi="ar-SA"/>
              </w:rPr>
              <w:t>2025</w:t>
            </w:r>
          </w:p>
        </w:tc>
        <w:tc>
          <w:tcPr>
            <w:tcW w:w="909" w:type="dxa"/>
          </w:tcPr>
          <w:p>
            <w:pPr>
              <w:pStyle w:val="2"/>
              <w:keepNext w:val="0"/>
              <w:keepLines w:val="0"/>
              <w:pageBreakBefore w:val="0"/>
              <w:suppressLineNumbers w:val="0"/>
              <w:kinsoku/>
              <w:wordWrap/>
              <w:overflowPunct/>
              <w:topLinePunct w:val="0"/>
              <w:autoSpaceDE/>
              <w:autoSpaceDN/>
              <w:bidi w:val="0"/>
              <w:adjustRightInd/>
              <w:snapToGrid/>
              <w:spacing w:line="560" w:lineRule="exact"/>
              <w:ind w:left="0" w:right="0"/>
              <w:jc w:val="center"/>
              <w:textAlignment w:val="auto"/>
              <w:rPr>
                <w:rFonts w:hint="default" w:ascii="仿宋" w:hAnsi="仿宋" w:eastAsia="仿宋" w:cs="宋体"/>
                <w:b w:val="0"/>
                <w:bCs w:val="0"/>
                <w:color w:val="auto"/>
                <w:kern w:val="0"/>
                <w:sz w:val="22"/>
                <w:szCs w:val="22"/>
                <w:highlight w:val="yellow"/>
                <w:u w:val="none"/>
                <w:lang w:val="en-US" w:eastAsia="zh-CN" w:bidi="ar-SA"/>
              </w:rPr>
            </w:pPr>
            <w:r>
              <w:rPr>
                <w:rFonts w:hint="eastAsia" w:ascii="仿宋" w:hAnsi="仿宋" w:eastAsia="仿宋" w:cs="宋体"/>
                <w:b w:val="0"/>
                <w:bCs w:val="0"/>
                <w:color w:val="auto"/>
                <w:kern w:val="0"/>
                <w:sz w:val="22"/>
                <w:szCs w:val="22"/>
                <w:highlight w:val="yellow"/>
                <w:u w:val="none"/>
                <w:lang w:val="en-US" w:eastAsia="zh-CN" w:bidi="ar-SA"/>
              </w:rPr>
              <w:t>191</w:t>
            </w:r>
          </w:p>
        </w:tc>
        <w:tc>
          <w:tcPr>
            <w:tcW w:w="914" w:type="dxa"/>
          </w:tcPr>
          <w:p>
            <w:pPr>
              <w:pStyle w:val="2"/>
              <w:keepNext w:val="0"/>
              <w:keepLines w:val="0"/>
              <w:pageBreakBefore w:val="0"/>
              <w:suppressLineNumbers w:val="0"/>
              <w:kinsoku/>
              <w:wordWrap/>
              <w:overflowPunct/>
              <w:topLinePunct w:val="0"/>
              <w:autoSpaceDE/>
              <w:autoSpaceDN/>
              <w:bidi w:val="0"/>
              <w:adjustRightInd/>
              <w:snapToGrid/>
              <w:spacing w:line="560" w:lineRule="exact"/>
              <w:ind w:left="0" w:right="0"/>
              <w:jc w:val="center"/>
              <w:textAlignment w:val="auto"/>
              <w:rPr>
                <w:rFonts w:hint="default" w:ascii="仿宋" w:hAnsi="仿宋" w:eastAsia="仿宋" w:cs="宋体"/>
                <w:b w:val="0"/>
                <w:bCs w:val="0"/>
                <w:color w:val="auto"/>
                <w:kern w:val="0"/>
                <w:sz w:val="22"/>
                <w:szCs w:val="22"/>
                <w:highlight w:val="yellow"/>
                <w:u w:val="none"/>
                <w:lang w:val="en-US" w:eastAsia="zh-CN" w:bidi="ar-SA"/>
              </w:rPr>
            </w:pPr>
            <w:r>
              <w:rPr>
                <w:rFonts w:hint="eastAsia" w:ascii="仿宋" w:hAnsi="仿宋" w:eastAsia="仿宋" w:cs="宋体"/>
                <w:b w:val="0"/>
                <w:bCs w:val="0"/>
                <w:color w:val="auto"/>
                <w:kern w:val="0"/>
                <w:sz w:val="22"/>
                <w:szCs w:val="22"/>
                <w:highlight w:val="yellow"/>
                <w:u w:val="none"/>
                <w:lang w:val="en-US" w:eastAsia="zh-CN" w:bidi="ar-SA"/>
              </w:rPr>
              <w:t>6</w:t>
            </w:r>
          </w:p>
        </w:tc>
        <w:tc>
          <w:tcPr>
            <w:tcW w:w="1035" w:type="dxa"/>
          </w:tcPr>
          <w:p>
            <w:pPr>
              <w:pStyle w:val="2"/>
              <w:keepNext w:val="0"/>
              <w:keepLines w:val="0"/>
              <w:pageBreakBefore w:val="0"/>
              <w:suppressLineNumbers w:val="0"/>
              <w:kinsoku/>
              <w:wordWrap/>
              <w:overflowPunct/>
              <w:topLinePunct w:val="0"/>
              <w:autoSpaceDE/>
              <w:autoSpaceDN/>
              <w:bidi w:val="0"/>
              <w:adjustRightInd/>
              <w:snapToGrid/>
              <w:spacing w:line="560" w:lineRule="exact"/>
              <w:ind w:left="0" w:right="0"/>
              <w:jc w:val="center"/>
              <w:textAlignment w:val="auto"/>
              <w:rPr>
                <w:rFonts w:hint="default" w:ascii="仿宋" w:hAnsi="仿宋" w:eastAsia="仿宋" w:cs="宋体"/>
                <w:b w:val="0"/>
                <w:bCs w:val="0"/>
                <w:color w:val="auto"/>
                <w:kern w:val="0"/>
                <w:sz w:val="22"/>
                <w:szCs w:val="22"/>
                <w:highlight w:val="yellow"/>
                <w:u w:val="none"/>
                <w:lang w:val="en-US" w:eastAsia="zh-CN" w:bidi="ar-SA"/>
              </w:rPr>
            </w:pPr>
            <w:r>
              <w:rPr>
                <w:rFonts w:hint="eastAsia" w:ascii="仿宋" w:hAnsi="仿宋" w:eastAsia="仿宋" w:cs="宋体"/>
                <w:b w:val="0"/>
                <w:bCs w:val="0"/>
                <w:color w:val="auto"/>
                <w:kern w:val="0"/>
                <w:sz w:val="22"/>
                <w:szCs w:val="22"/>
                <w:highlight w:val="yellow"/>
                <w:u w:val="none"/>
                <w:lang w:val="en-US" w:eastAsia="zh-CN" w:bidi="ar-SA"/>
              </w:rPr>
              <w:t>10</w:t>
            </w:r>
          </w:p>
        </w:tc>
        <w:tc>
          <w:tcPr>
            <w:tcW w:w="849" w:type="dxa"/>
          </w:tcPr>
          <w:p>
            <w:pPr>
              <w:pStyle w:val="2"/>
              <w:keepNext w:val="0"/>
              <w:keepLines w:val="0"/>
              <w:pageBreakBefore w:val="0"/>
              <w:suppressLineNumbers w:val="0"/>
              <w:kinsoku/>
              <w:wordWrap/>
              <w:overflowPunct/>
              <w:topLinePunct w:val="0"/>
              <w:autoSpaceDE/>
              <w:autoSpaceDN/>
              <w:bidi w:val="0"/>
              <w:adjustRightInd/>
              <w:snapToGrid/>
              <w:spacing w:line="560" w:lineRule="exact"/>
              <w:ind w:left="0" w:right="0"/>
              <w:jc w:val="center"/>
              <w:textAlignment w:val="auto"/>
              <w:rPr>
                <w:rFonts w:hint="default" w:ascii="仿宋" w:hAnsi="仿宋" w:eastAsia="仿宋" w:cs="宋体"/>
                <w:b w:val="0"/>
                <w:bCs w:val="0"/>
                <w:color w:val="auto"/>
                <w:kern w:val="0"/>
                <w:sz w:val="22"/>
                <w:szCs w:val="22"/>
                <w:highlight w:val="yellow"/>
                <w:u w:val="none"/>
                <w:lang w:val="en-US" w:eastAsia="zh-CN" w:bidi="ar-SA"/>
              </w:rPr>
            </w:pPr>
            <w:r>
              <w:rPr>
                <w:rFonts w:hint="eastAsia" w:ascii="仿宋" w:hAnsi="仿宋" w:eastAsia="仿宋" w:cs="宋体"/>
                <w:b w:val="0"/>
                <w:bCs w:val="0"/>
                <w:color w:val="auto"/>
                <w:kern w:val="0"/>
                <w:sz w:val="22"/>
                <w:szCs w:val="22"/>
                <w:highlight w:val="yellow"/>
                <w:u w:val="none"/>
                <w:lang w:val="en-US" w:eastAsia="zh-CN" w:bidi="ar-SA"/>
              </w:rPr>
              <w:t>5</w:t>
            </w:r>
          </w:p>
        </w:tc>
        <w:tc>
          <w:tcPr>
            <w:tcW w:w="743" w:type="dxa"/>
          </w:tcPr>
          <w:p>
            <w:pPr>
              <w:pStyle w:val="2"/>
              <w:keepNext w:val="0"/>
              <w:keepLines w:val="0"/>
              <w:pageBreakBefore w:val="0"/>
              <w:suppressLineNumbers w:val="0"/>
              <w:kinsoku/>
              <w:wordWrap/>
              <w:overflowPunct/>
              <w:topLinePunct w:val="0"/>
              <w:autoSpaceDE/>
              <w:autoSpaceDN/>
              <w:bidi w:val="0"/>
              <w:adjustRightInd/>
              <w:snapToGrid/>
              <w:spacing w:line="560" w:lineRule="exact"/>
              <w:ind w:left="0" w:right="0"/>
              <w:jc w:val="center"/>
              <w:textAlignment w:val="auto"/>
              <w:rPr>
                <w:rFonts w:hint="default" w:ascii="仿宋" w:hAnsi="仿宋" w:eastAsia="仿宋" w:cs="宋体"/>
                <w:b w:val="0"/>
                <w:bCs w:val="0"/>
                <w:color w:val="auto"/>
                <w:kern w:val="0"/>
                <w:sz w:val="22"/>
                <w:szCs w:val="22"/>
                <w:highlight w:val="yellow"/>
                <w:u w:val="none"/>
                <w:lang w:val="en-US" w:eastAsia="zh-CN" w:bidi="ar-SA"/>
              </w:rPr>
            </w:pPr>
            <w:r>
              <w:rPr>
                <w:rFonts w:hint="eastAsia" w:ascii="仿宋" w:hAnsi="仿宋" w:eastAsia="仿宋" w:cs="宋体"/>
                <w:b w:val="0"/>
                <w:bCs w:val="0"/>
                <w:color w:val="auto"/>
                <w:kern w:val="0"/>
                <w:sz w:val="22"/>
                <w:szCs w:val="22"/>
                <w:highlight w:val="yellow"/>
                <w:u w:val="none"/>
                <w:lang w:val="en-US" w:eastAsia="zh-CN" w:bidi="ar-SA"/>
              </w:rPr>
              <w:t>14</w:t>
            </w:r>
          </w:p>
        </w:tc>
        <w:tc>
          <w:tcPr>
            <w:tcW w:w="734" w:type="dxa"/>
          </w:tcPr>
          <w:p>
            <w:pPr>
              <w:pStyle w:val="2"/>
              <w:keepNext w:val="0"/>
              <w:keepLines w:val="0"/>
              <w:pageBreakBefore w:val="0"/>
              <w:suppressLineNumbers w:val="0"/>
              <w:kinsoku/>
              <w:wordWrap/>
              <w:overflowPunct/>
              <w:topLinePunct w:val="0"/>
              <w:autoSpaceDE/>
              <w:autoSpaceDN/>
              <w:bidi w:val="0"/>
              <w:adjustRightInd/>
              <w:snapToGrid/>
              <w:spacing w:line="560" w:lineRule="exact"/>
              <w:ind w:left="0" w:right="0"/>
              <w:jc w:val="center"/>
              <w:textAlignment w:val="auto"/>
              <w:rPr>
                <w:rFonts w:hint="default" w:ascii="仿宋" w:hAnsi="仿宋" w:eastAsia="仿宋" w:cs="宋体"/>
                <w:b w:val="0"/>
                <w:bCs w:val="0"/>
                <w:color w:val="auto"/>
                <w:kern w:val="0"/>
                <w:sz w:val="22"/>
                <w:szCs w:val="22"/>
                <w:highlight w:val="yellow"/>
                <w:u w:val="none"/>
                <w:lang w:val="en-US" w:eastAsia="zh-CN" w:bidi="ar-SA"/>
              </w:rPr>
            </w:pPr>
            <w:r>
              <w:rPr>
                <w:rFonts w:hint="eastAsia" w:ascii="仿宋" w:hAnsi="仿宋" w:eastAsia="仿宋" w:cs="宋体"/>
                <w:b w:val="0"/>
                <w:bCs w:val="0"/>
                <w:color w:val="auto"/>
                <w:kern w:val="0"/>
                <w:sz w:val="22"/>
                <w:szCs w:val="22"/>
                <w:highlight w:val="yellow"/>
                <w:u w:val="none"/>
                <w:lang w:val="en-US" w:eastAsia="zh-CN" w:bidi="ar-SA"/>
              </w:rPr>
              <w:t>2</w:t>
            </w:r>
          </w:p>
        </w:tc>
        <w:tc>
          <w:tcPr>
            <w:tcW w:w="765" w:type="dxa"/>
          </w:tcPr>
          <w:p>
            <w:pPr>
              <w:pStyle w:val="2"/>
              <w:keepNext w:val="0"/>
              <w:keepLines w:val="0"/>
              <w:pageBreakBefore w:val="0"/>
              <w:suppressLineNumbers w:val="0"/>
              <w:kinsoku/>
              <w:wordWrap/>
              <w:overflowPunct/>
              <w:topLinePunct w:val="0"/>
              <w:autoSpaceDE/>
              <w:autoSpaceDN/>
              <w:bidi w:val="0"/>
              <w:adjustRightInd/>
              <w:snapToGrid/>
              <w:spacing w:line="560" w:lineRule="exact"/>
              <w:ind w:left="0" w:right="0"/>
              <w:jc w:val="center"/>
              <w:textAlignment w:val="auto"/>
              <w:rPr>
                <w:rFonts w:hint="default" w:ascii="仿宋" w:hAnsi="仿宋" w:eastAsia="仿宋" w:cs="宋体"/>
                <w:b w:val="0"/>
                <w:bCs w:val="0"/>
                <w:color w:val="auto"/>
                <w:kern w:val="0"/>
                <w:sz w:val="22"/>
                <w:szCs w:val="22"/>
                <w:highlight w:val="yellow"/>
                <w:u w:val="none"/>
                <w:lang w:val="en-US" w:eastAsia="zh-CN" w:bidi="ar-SA"/>
              </w:rPr>
            </w:pPr>
            <w:r>
              <w:rPr>
                <w:rFonts w:hint="eastAsia" w:ascii="仿宋" w:hAnsi="仿宋" w:eastAsia="仿宋" w:cs="宋体"/>
                <w:b w:val="0"/>
                <w:bCs w:val="0"/>
                <w:color w:val="auto"/>
                <w:kern w:val="0"/>
                <w:sz w:val="22"/>
                <w:szCs w:val="22"/>
                <w:highlight w:val="yellow"/>
                <w:u w:val="none"/>
                <w:lang w:val="en-US" w:eastAsia="zh-CN" w:bidi="ar-SA"/>
              </w:rPr>
              <w:t>0</w:t>
            </w:r>
          </w:p>
        </w:tc>
        <w:tc>
          <w:tcPr>
            <w:tcW w:w="735" w:type="dxa"/>
          </w:tcPr>
          <w:p>
            <w:pPr>
              <w:pStyle w:val="2"/>
              <w:keepNext w:val="0"/>
              <w:keepLines w:val="0"/>
              <w:pageBreakBefore w:val="0"/>
              <w:suppressLineNumbers w:val="0"/>
              <w:kinsoku/>
              <w:wordWrap/>
              <w:overflowPunct/>
              <w:topLinePunct w:val="0"/>
              <w:autoSpaceDE/>
              <w:autoSpaceDN/>
              <w:bidi w:val="0"/>
              <w:adjustRightInd/>
              <w:snapToGrid/>
              <w:spacing w:line="560" w:lineRule="exact"/>
              <w:ind w:left="0" w:right="0"/>
              <w:jc w:val="center"/>
              <w:textAlignment w:val="auto"/>
              <w:rPr>
                <w:rFonts w:hint="default" w:ascii="仿宋" w:hAnsi="仿宋" w:eastAsia="仿宋" w:cs="宋体"/>
                <w:b w:val="0"/>
                <w:bCs w:val="0"/>
                <w:color w:val="auto"/>
                <w:kern w:val="0"/>
                <w:sz w:val="22"/>
                <w:szCs w:val="22"/>
                <w:highlight w:val="yellow"/>
                <w:u w:val="none"/>
                <w:lang w:val="en-US" w:eastAsia="zh-CN" w:bidi="ar-SA"/>
              </w:rPr>
            </w:pPr>
            <w:r>
              <w:rPr>
                <w:rFonts w:hint="eastAsia" w:ascii="仿宋" w:hAnsi="仿宋" w:eastAsia="仿宋" w:cs="宋体"/>
                <w:b w:val="0"/>
                <w:bCs w:val="0"/>
                <w:color w:val="auto"/>
                <w:kern w:val="0"/>
                <w:sz w:val="22"/>
                <w:szCs w:val="22"/>
                <w:highlight w:val="yellow"/>
                <w:u w:val="none"/>
                <w:lang w:val="en-US" w:eastAsia="zh-CN" w:bidi="ar-SA"/>
              </w:rPr>
              <w:t>58</w:t>
            </w:r>
          </w:p>
        </w:tc>
        <w:tc>
          <w:tcPr>
            <w:tcW w:w="1229" w:type="dxa"/>
            <w:vAlign w:val="top"/>
          </w:tcPr>
          <w:p>
            <w:pPr>
              <w:pStyle w:val="2"/>
              <w:keepNext w:val="0"/>
              <w:keepLines w:val="0"/>
              <w:pageBreakBefore w:val="0"/>
              <w:suppressLineNumbers w:val="0"/>
              <w:kinsoku/>
              <w:wordWrap/>
              <w:overflowPunct/>
              <w:topLinePunct w:val="0"/>
              <w:autoSpaceDE/>
              <w:autoSpaceDN/>
              <w:bidi w:val="0"/>
              <w:adjustRightInd/>
              <w:snapToGrid/>
              <w:spacing w:line="560" w:lineRule="exact"/>
              <w:ind w:left="0" w:right="0"/>
              <w:jc w:val="center"/>
              <w:textAlignment w:val="auto"/>
              <w:rPr>
                <w:rFonts w:hint="eastAsia" w:ascii="仿宋" w:hAnsi="仿宋" w:eastAsia="仿宋" w:cs="宋体"/>
                <w:b w:val="0"/>
                <w:bCs w:val="0"/>
                <w:color w:val="auto"/>
                <w:kern w:val="0"/>
                <w:sz w:val="22"/>
                <w:szCs w:val="22"/>
                <w:highlight w:val="yellow"/>
                <w:u w:val="none"/>
                <w:lang w:val="en-US" w:eastAsia="zh-CN" w:bidi="ar-SA"/>
              </w:rPr>
            </w:pPr>
            <w:r>
              <w:rPr>
                <w:rFonts w:hint="eastAsia" w:ascii="仿宋" w:hAnsi="仿宋" w:eastAsia="仿宋" w:cs="宋体"/>
                <w:b w:val="0"/>
                <w:bCs w:val="0"/>
                <w:color w:val="auto"/>
                <w:kern w:val="0"/>
                <w:sz w:val="22"/>
                <w:szCs w:val="22"/>
                <w:highlight w:val="yellow"/>
                <w:u w:val="none"/>
                <w:lang w:val="en-US" w:eastAsia="zh-CN" w:bidi="ar-SA"/>
              </w:rPr>
              <w:t>1287.1209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755" w:type="dxa"/>
          </w:tcPr>
          <w:p>
            <w:pPr>
              <w:pStyle w:val="2"/>
              <w:keepNext w:val="0"/>
              <w:keepLines w:val="0"/>
              <w:pageBreakBefore w:val="0"/>
              <w:suppressLineNumbers w:val="0"/>
              <w:kinsoku/>
              <w:wordWrap/>
              <w:overflowPunct/>
              <w:topLinePunct w:val="0"/>
              <w:autoSpaceDE/>
              <w:autoSpaceDN/>
              <w:bidi w:val="0"/>
              <w:adjustRightInd/>
              <w:snapToGrid/>
              <w:spacing w:line="560" w:lineRule="exact"/>
              <w:ind w:left="0" w:right="0"/>
              <w:jc w:val="center"/>
              <w:textAlignment w:val="auto"/>
              <w:rPr>
                <w:rFonts w:hint="eastAsia" w:ascii="仿宋" w:hAnsi="仿宋" w:eastAsia="仿宋" w:cs="宋体"/>
                <w:b w:val="0"/>
                <w:bCs w:val="0"/>
                <w:color w:val="auto"/>
                <w:kern w:val="0"/>
                <w:sz w:val="22"/>
                <w:szCs w:val="22"/>
                <w:highlight w:val="yellow"/>
                <w:u w:val="none"/>
                <w:lang w:val="en-US" w:eastAsia="zh-CN" w:bidi="ar-SA"/>
              </w:rPr>
            </w:pPr>
            <w:r>
              <w:rPr>
                <w:rFonts w:hint="eastAsia" w:ascii="仿宋" w:hAnsi="仿宋" w:eastAsia="仿宋" w:cs="宋体"/>
                <w:b w:val="0"/>
                <w:bCs w:val="0"/>
                <w:color w:val="auto"/>
                <w:kern w:val="0"/>
                <w:sz w:val="22"/>
                <w:szCs w:val="22"/>
                <w:highlight w:val="yellow"/>
                <w:u w:val="none"/>
                <w:lang w:val="en-US" w:eastAsia="zh-CN" w:bidi="ar-SA"/>
              </w:rPr>
              <w:t>2024</w:t>
            </w:r>
          </w:p>
        </w:tc>
        <w:tc>
          <w:tcPr>
            <w:tcW w:w="909" w:type="dxa"/>
          </w:tcPr>
          <w:p>
            <w:pPr>
              <w:pStyle w:val="2"/>
              <w:keepNext w:val="0"/>
              <w:keepLines w:val="0"/>
              <w:pageBreakBefore w:val="0"/>
              <w:suppressLineNumbers w:val="0"/>
              <w:kinsoku/>
              <w:wordWrap/>
              <w:overflowPunct/>
              <w:topLinePunct w:val="0"/>
              <w:autoSpaceDE/>
              <w:autoSpaceDN/>
              <w:bidi w:val="0"/>
              <w:adjustRightInd/>
              <w:snapToGrid/>
              <w:spacing w:line="560" w:lineRule="exact"/>
              <w:ind w:left="0" w:right="0"/>
              <w:jc w:val="center"/>
              <w:textAlignment w:val="auto"/>
              <w:rPr>
                <w:rFonts w:hint="eastAsia" w:ascii="仿宋" w:hAnsi="仿宋" w:eastAsia="仿宋" w:cs="宋体"/>
                <w:b w:val="0"/>
                <w:bCs w:val="0"/>
                <w:color w:val="auto"/>
                <w:kern w:val="0"/>
                <w:sz w:val="22"/>
                <w:szCs w:val="22"/>
                <w:highlight w:val="yellow"/>
                <w:u w:val="none"/>
                <w:lang w:val="en-US" w:eastAsia="zh-CN" w:bidi="ar-SA"/>
              </w:rPr>
            </w:pPr>
            <w:r>
              <w:rPr>
                <w:rFonts w:hint="eastAsia" w:ascii="仿宋" w:hAnsi="仿宋" w:eastAsia="仿宋" w:cs="宋体"/>
                <w:b w:val="0"/>
                <w:bCs w:val="0"/>
                <w:color w:val="auto"/>
                <w:kern w:val="0"/>
                <w:sz w:val="22"/>
                <w:szCs w:val="22"/>
                <w:highlight w:val="yellow"/>
                <w:u w:val="none"/>
                <w:lang w:val="en-US" w:eastAsia="zh-CN" w:bidi="ar-SA"/>
              </w:rPr>
              <w:t>415</w:t>
            </w:r>
          </w:p>
        </w:tc>
        <w:tc>
          <w:tcPr>
            <w:tcW w:w="914" w:type="dxa"/>
          </w:tcPr>
          <w:p>
            <w:pPr>
              <w:pStyle w:val="2"/>
              <w:keepNext w:val="0"/>
              <w:keepLines w:val="0"/>
              <w:pageBreakBefore w:val="0"/>
              <w:suppressLineNumbers w:val="0"/>
              <w:kinsoku/>
              <w:wordWrap/>
              <w:overflowPunct/>
              <w:topLinePunct w:val="0"/>
              <w:autoSpaceDE/>
              <w:autoSpaceDN/>
              <w:bidi w:val="0"/>
              <w:adjustRightInd/>
              <w:snapToGrid/>
              <w:spacing w:line="560" w:lineRule="exact"/>
              <w:ind w:left="0" w:right="0"/>
              <w:jc w:val="center"/>
              <w:textAlignment w:val="auto"/>
              <w:rPr>
                <w:rFonts w:hint="eastAsia" w:ascii="仿宋" w:hAnsi="仿宋" w:eastAsia="仿宋" w:cs="宋体"/>
                <w:b w:val="0"/>
                <w:bCs w:val="0"/>
                <w:color w:val="auto"/>
                <w:kern w:val="0"/>
                <w:sz w:val="22"/>
                <w:szCs w:val="22"/>
                <w:highlight w:val="yellow"/>
                <w:u w:val="none"/>
                <w:lang w:val="en-US" w:eastAsia="zh-CN" w:bidi="ar-SA"/>
              </w:rPr>
            </w:pPr>
            <w:r>
              <w:rPr>
                <w:rFonts w:hint="eastAsia" w:ascii="仿宋" w:hAnsi="仿宋" w:eastAsia="仿宋" w:cs="宋体"/>
                <w:b w:val="0"/>
                <w:bCs w:val="0"/>
                <w:color w:val="auto"/>
                <w:kern w:val="0"/>
                <w:sz w:val="22"/>
                <w:szCs w:val="22"/>
                <w:highlight w:val="yellow"/>
                <w:u w:val="none"/>
                <w:lang w:val="en-US" w:eastAsia="zh-CN" w:bidi="ar-SA"/>
              </w:rPr>
              <w:t>6</w:t>
            </w:r>
          </w:p>
        </w:tc>
        <w:tc>
          <w:tcPr>
            <w:tcW w:w="1035" w:type="dxa"/>
          </w:tcPr>
          <w:p>
            <w:pPr>
              <w:pStyle w:val="2"/>
              <w:keepNext w:val="0"/>
              <w:keepLines w:val="0"/>
              <w:pageBreakBefore w:val="0"/>
              <w:suppressLineNumbers w:val="0"/>
              <w:kinsoku/>
              <w:wordWrap/>
              <w:overflowPunct/>
              <w:topLinePunct w:val="0"/>
              <w:autoSpaceDE/>
              <w:autoSpaceDN/>
              <w:bidi w:val="0"/>
              <w:adjustRightInd/>
              <w:snapToGrid/>
              <w:spacing w:line="560" w:lineRule="exact"/>
              <w:ind w:left="0" w:right="0"/>
              <w:jc w:val="center"/>
              <w:textAlignment w:val="auto"/>
              <w:rPr>
                <w:rFonts w:hint="eastAsia" w:ascii="仿宋" w:hAnsi="仿宋" w:eastAsia="仿宋" w:cs="宋体"/>
                <w:b w:val="0"/>
                <w:bCs w:val="0"/>
                <w:color w:val="auto"/>
                <w:kern w:val="0"/>
                <w:sz w:val="22"/>
                <w:szCs w:val="22"/>
                <w:highlight w:val="yellow"/>
                <w:u w:val="none"/>
                <w:lang w:val="en-US" w:eastAsia="zh-CN" w:bidi="ar-SA"/>
              </w:rPr>
            </w:pPr>
            <w:r>
              <w:rPr>
                <w:rFonts w:hint="eastAsia" w:ascii="仿宋" w:hAnsi="仿宋" w:eastAsia="仿宋" w:cs="宋体"/>
                <w:b w:val="0"/>
                <w:bCs w:val="0"/>
                <w:color w:val="auto"/>
                <w:kern w:val="0"/>
                <w:sz w:val="22"/>
                <w:szCs w:val="22"/>
                <w:highlight w:val="yellow"/>
                <w:u w:val="none"/>
                <w:lang w:val="en-US" w:eastAsia="zh-CN" w:bidi="ar-SA"/>
              </w:rPr>
              <w:t>3</w:t>
            </w:r>
          </w:p>
        </w:tc>
        <w:tc>
          <w:tcPr>
            <w:tcW w:w="849" w:type="dxa"/>
          </w:tcPr>
          <w:p>
            <w:pPr>
              <w:pStyle w:val="2"/>
              <w:keepNext w:val="0"/>
              <w:keepLines w:val="0"/>
              <w:pageBreakBefore w:val="0"/>
              <w:suppressLineNumbers w:val="0"/>
              <w:kinsoku/>
              <w:wordWrap/>
              <w:overflowPunct/>
              <w:topLinePunct w:val="0"/>
              <w:autoSpaceDE/>
              <w:autoSpaceDN/>
              <w:bidi w:val="0"/>
              <w:adjustRightInd/>
              <w:snapToGrid/>
              <w:spacing w:line="560" w:lineRule="exact"/>
              <w:ind w:left="0" w:right="0"/>
              <w:jc w:val="center"/>
              <w:textAlignment w:val="auto"/>
              <w:rPr>
                <w:rFonts w:hint="eastAsia" w:ascii="仿宋" w:hAnsi="仿宋" w:eastAsia="仿宋" w:cs="宋体"/>
                <w:b w:val="0"/>
                <w:bCs w:val="0"/>
                <w:color w:val="auto"/>
                <w:kern w:val="0"/>
                <w:sz w:val="22"/>
                <w:szCs w:val="22"/>
                <w:highlight w:val="yellow"/>
                <w:u w:val="none"/>
                <w:lang w:val="en-US" w:eastAsia="zh-CN" w:bidi="ar-SA"/>
              </w:rPr>
            </w:pPr>
            <w:r>
              <w:rPr>
                <w:rFonts w:hint="eastAsia" w:ascii="仿宋" w:hAnsi="仿宋" w:eastAsia="仿宋" w:cs="宋体"/>
                <w:b w:val="0"/>
                <w:bCs w:val="0"/>
                <w:color w:val="auto"/>
                <w:kern w:val="0"/>
                <w:sz w:val="22"/>
                <w:szCs w:val="22"/>
                <w:highlight w:val="yellow"/>
                <w:u w:val="none"/>
                <w:lang w:val="en-US" w:eastAsia="zh-CN" w:bidi="ar-SA"/>
              </w:rPr>
              <w:t>16</w:t>
            </w:r>
          </w:p>
        </w:tc>
        <w:tc>
          <w:tcPr>
            <w:tcW w:w="743" w:type="dxa"/>
          </w:tcPr>
          <w:p>
            <w:pPr>
              <w:pStyle w:val="2"/>
              <w:keepNext w:val="0"/>
              <w:keepLines w:val="0"/>
              <w:pageBreakBefore w:val="0"/>
              <w:suppressLineNumbers w:val="0"/>
              <w:kinsoku/>
              <w:wordWrap/>
              <w:overflowPunct/>
              <w:topLinePunct w:val="0"/>
              <w:autoSpaceDE/>
              <w:autoSpaceDN/>
              <w:bidi w:val="0"/>
              <w:adjustRightInd/>
              <w:snapToGrid/>
              <w:spacing w:line="560" w:lineRule="exact"/>
              <w:ind w:left="0" w:right="0"/>
              <w:jc w:val="center"/>
              <w:textAlignment w:val="auto"/>
              <w:rPr>
                <w:rFonts w:hint="eastAsia" w:ascii="仿宋" w:hAnsi="仿宋" w:eastAsia="仿宋" w:cs="宋体"/>
                <w:b w:val="0"/>
                <w:bCs w:val="0"/>
                <w:color w:val="auto"/>
                <w:kern w:val="0"/>
                <w:sz w:val="22"/>
                <w:szCs w:val="22"/>
                <w:highlight w:val="yellow"/>
                <w:u w:val="none"/>
                <w:lang w:val="en-US" w:eastAsia="zh-CN" w:bidi="ar-SA"/>
              </w:rPr>
            </w:pPr>
            <w:r>
              <w:rPr>
                <w:rFonts w:hint="eastAsia" w:ascii="仿宋" w:hAnsi="仿宋" w:eastAsia="仿宋" w:cs="宋体"/>
                <w:b w:val="0"/>
                <w:bCs w:val="0"/>
                <w:color w:val="auto"/>
                <w:kern w:val="0"/>
                <w:sz w:val="22"/>
                <w:szCs w:val="22"/>
                <w:highlight w:val="yellow"/>
                <w:u w:val="none"/>
                <w:lang w:val="en-US" w:eastAsia="zh-CN" w:bidi="ar-SA"/>
              </w:rPr>
              <w:t>2</w:t>
            </w:r>
          </w:p>
        </w:tc>
        <w:tc>
          <w:tcPr>
            <w:tcW w:w="734" w:type="dxa"/>
          </w:tcPr>
          <w:p>
            <w:pPr>
              <w:pStyle w:val="2"/>
              <w:keepNext w:val="0"/>
              <w:keepLines w:val="0"/>
              <w:pageBreakBefore w:val="0"/>
              <w:suppressLineNumbers w:val="0"/>
              <w:kinsoku/>
              <w:wordWrap/>
              <w:overflowPunct/>
              <w:topLinePunct w:val="0"/>
              <w:autoSpaceDE/>
              <w:autoSpaceDN/>
              <w:bidi w:val="0"/>
              <w:adjustRightInd/>
              <w:snapToGrid/>
              <w:spacing w:line="560" w:lineRule="exact"/>
              <w:ind w:left="0" w:right="0"/>
              <w:jc w:val="center"/>
              <w:textAlignment w:val="auto"/>
              <w:rPr>
                <w:rFonts w:hint="eastAsia" w:ascii="仿宋" w:hAnsi="仿宋" w:eastAsia="仿宋" w:cs="宋体"/>
                <w:b w:val="0"/>
                <w:bCs w:val="0"/>
                <w:color w:val="auto"/>
                <w:kern w:val="0"/>
                <w:sz w:val="22"/>
                <w:szCs w:val="22"/>
                <w:highlight w:val="yellow"/>
                <w:u w:val="none"/>
                <w:lang w:val="en-US" w:eastAsia="zh-CN" w:bidi="ar-SA"/>
              </w:rPr>
            </w:pPr>
            <w:r>
              <w:rPr>
                <w:rFonts w:hint="eastAsia" w:ascii="仿宋" w:hAnsi="仿宋" w:eastAsia="仿宋" w:cs="宋体"/>
                <w:b w:val="0"/>
                <w:bCs w:val="0"/>
                <w:color w:val="auto"/>
                <w:kern w:val="0"/>
                <w:sz w:val="22"/>
                <w:szCs w:val="22"/>
                <w:highlight w:val="yellow"/>
                <w:u w:val="none"/>
                <w:lang w:val="en-US" w:eastAsia="zh-CN" w:bidi="ar-SA"/>
              </w:rPr>
              <w:t>2</w:t>
            </w:r>
          </w:p>
        </w:tc>
        <w:tc>
          <w:tcPr>
            <w:tcW w:w="765" w:type="dxa"/>
          </w:tcPr>
          <w:p>
            <w:pPr>
              <w:pStyle w:val="2"/>
              <w:keepNext w:val="0"/>
              <w:keepLines w:val="0"/>
              <w:pageBreakBefore w:val="0"/>
              <w:suppressLineNumbers w:val="0"/>
              <w:kinsoku/>
              <w:wordWrap/>
              <w:overflowPunct/>
              <w:topLinePunct w:val="0"/>
              <w:autoSpaceDE/>
              <w:autoSpaceDN/>
              <w:bidi w:val="0"/>
              <w:adjustRightInd/>
              <w:snapToGrid/>
              <w:spacing w:line="560" w:lineRule="exact"/>
              <w:ind w:left="0" w:right="0"/>
              <w:jc w:val="center"/>
              <w:textAlignment w:val="auto"/>
              <w:rPr>
                <w:rFonts w:hint="eastAsia" w:ascii="仿宋" w:hAnsi="仿宋" w:eastAsia="仿宋" w:cs="宋体"/>
                <w:b w:val="0"/>
                <w:bCs w:val="0"/>
                <w:color w:val="auto"/>
                <w:kern w:val="0"/>
                <w:sz w:val="22"/>
                <w:szCs w:val="22"/>
                <w:highlight w:val="yellow"/>
                <w:u w:val="none"/>
                <w:lang w:val="en-US" w:eastAsia="zh-CN" w:bidi="ar-SA"/>
              </w:rPr>
            </w:pPr>
            <w:r>
              <w:rPr>
                <w:rFonts w:hint="eastAsia" w:ascii="仿宋" w:hAnsi="仿宋" w:eastAsia="仿宋" w:cs="宋体"/>
                <w:b w:val="0"/>
                <w:bCs w:val="0"/>
                <w:color w:val="auto"/>
                <w:kern w:val="0"/>
                <w:sz w:val="22"/>
                <w:szCs w:val="22"/>
                <w:highlight w:val="yellow"/>
                <w:u w:val="none"/>
                <w:lang w:val="en-US" w:eastAsia="zh-CN" w:bidi="ar-SA"/>
              </w:rPr>
              <w:t>0</w:t>
            </w:r>
          </w:p>
        </w:tc>
        <w:tc>
          <w:tcPr>
            <w:tcW w:w="735" w:type="dxa"/>
          </w:tcPr>
          <w:p>
            <w:pPr>
              <w:pStyle w:val="2"/>
              <w:keepNext w:val="0"/>
              <w:keepLines w:val="0"/>
              <w:pageBreakBefore w:val="0"/>
              <w:suppressLineNumbers w:val="0"/>
              <w:kinsoku/>
              <w:wordWrap/>
              <w:overflowPunct/>
              <w:topLinePunct w:val="0"/>
              <w:autoSpaceDE/>
              <w:autoSpaceDN/>
              <w:bidi w:val="0"/>
              <w:adjustRightInd/>
              <w:snapToGrid/>
              <w:spacing w:line="560" w:lineRule="exact"/>
              <w:ind w:left="0" w:right="0"/>
              <w:jc w:val="center"/>
              <w:textAlignment w:val="auto"/>
              <w:rPr>
                <w:rFonts w:hint="default" w:ascii="仿宋" w:hAnsi="仿宋" w:eastAsia="仿宋" w:cs="宋体"/>
                <w:b w:val="0"/>
                <w:bCs w:val="0"/>
                <w:color w:val="auto"/>
                <w:kern w:val="0"/>
                <w:sz w:val="22"/>
                <w:szCs w:val="22"/>
                <w:highlight w:val="yellow"/>
                <w:u w:val="none"/>
                <w:lang w:val="en-US" w:eastAsia="zh-CN" w:bidi="ar-SA"/>
              </w:rPr>
            </w:pPr>
            <w:r>
              <w:rPr>
                <w:rFonts w:hint="eastAsia" w:ascii="仿宋" w:hAnsi="仿宋" w:eastAsia="仿宋" w:cs="宋体"/>
                <w:b w:val="0"/>
                <w:bCs w:val="0"/>
                <w:color w:val="auto"/>
                <w:kern w:val="0"/>
                <w:sz w:val="22"/>
                <w:szCs w:val="22"/>
                <w:highlight w:val="yellow"/>
                <w:u w:val="none"/>
                <w:lang w:val="en-US" w:eastAsia="zh-CN" w:bidi="ar-SA"/>
              </w:rPr>
              <w:t>84</w:t>
            </w:r>
          </w:p>
        </w:tc>
        <w:tc>
          <w:tcPr>
            <w:tcW w:w="1229" w:type="dxa"/>
            <w:vAlign w:val="top"/>
          </w:tcPr>
          <w:p>
            <w:pPr>
              <w:pStyle w:val="2"/>
              <w:keepNext w:val="0"/>
              <w:keepLines w:val="0"/>
              <w:pageBreakBefore w:val="0"/>
              <w:suppressLineNumbers w:val="0"/>
              <w:kinsoku/>
              <w:wordWrap/>
              <w:overflowPunct/>
              <w:topLinePunct w:val="0"/>
              <w:autoSpaceDE/>
              <w:autoSpaceDN/>
              <w:bidi w:val="0"/>
              <w:adjustRightInd/>
              <w:snapToGrid/>
              <w:spacing w:line="560" w:lineRule="exact"/>
              <w:ind w:left="0" w:right="0"/>
              <w:jc w:val="center"/>
              <w:textAlignment w:val="auto"/>
              <w:rPr>
                <w:rFonts w:hint="eastAsia" w:ascii="仿宋" w:hAnsi="仿宋" w:eastAsia="仿宋" w:cs="宋体"/>
                <w:b w:val="0"/>
                <w:bCs w:val="0"/>
                <w:color w:val="auto"/>
                <w:kern w:val="0"/>
                <w:sz w:val="22"/>
                <w:szCs w:val="22"/>
                <w:highlight w:val="yellow"/>
                <w:u w:val="none"/>
                <w:lang w:val="en-US" w:eastAsia="zh-CN" w:bidi="ar-SA"/>
              </w:rPr>
            </w:pPr>
            <w:r>
              <w:rPr>
                <w:rFonts w:hint="eastAsia" w:ascii="仿宋" w:hAnsi="仿宋" w:eastAsia="仿宋" w:cs="宋体"/>
                <w:b w:val="0"/>
                <w:bCs w:val="0"/>
                <w:color w:val="auto"/>
                <w:kern w:val="0"/>
                <w:sz w:val="22"/>
                <w:szCs w:val="22"/>
                <w:highlight w:val="yellow"/>
                <w:u w:val="none"/>
                <w:lang w:val="en-US" w:eastAsia="zh-CN" w:bidi="ar-SA"/>
              </w:rPr>
              <w:t>2139.3497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755" w:type="dxa"/>
          </w:tcPr>
          <w:p>
            <w:pPr>
              <w:pStyle w:val="2"/>
              <w:keepNext w:val="0"/>
              <w:keepLines w:val="0"/>
              <w:pageBreakBefore w:val="0"/>
              <w:suppressLineNumbers w:val="0"/>
              <w:kinsoku/>
              <w:wordWrap/>
              <w:overflowPunct/>
              <w:topLinePunct w:val="0"/>
              <w:autoSpaceDE/>
              <w:autoSpaceDN/>
              <w:bidi w:val="0"/>
              <w:adjustRightInd/>
              <w:snapToGrid/>
              <w:spacing w:line="560" w:lineRule="exact"/>
              <w:ind w:left="0" w:right="0"/>
              <w:jc w:val="center"/>
              <w:textAlignment w:val="auto"/>
              <w:rPr>
                <w:rFonts w:hint="eastAsia" w:ascii="仿宋" w:hAnsi="仿宋" w:eastAsia="仿宋" w:cs="宋体"/>
                <w:b w:val="0"/>
                <w:bCs w:val="0"/>
                <w:color w:val="auto"/>
                <w:kern w:val="0"/>
                <w:sz w:val="22"/>
                <w:szCs w:val="22"/>
                <w:highlight w:val="yellow"/>
                <w:u w:val="none"/>
                <w:lang w:val="en-US" w:eastAsia="zh-CN" w:bidi="ar-SA"/>
              </w:rPr>
            </w:pPr>
            <w:r>
              <w:rPr>
                <w:rFonts w:hint="eastAsia" w:ascii="仿宋" w:hAnsi="仿宋" w:eastAsia="仿宋" w:cs="宋体"/>
                <w:b w:val="0"/>
                <w:bCs w:val="0"/>
                <w:color w:val="auto"/>
                <w:kern w:val="0"/>
                <w:sz w:val="22"/>
                <w:szCs w:val="22"/>
                <w:highlight w:val="yellow"/>
                <w:u w:val="none"/>
                <w:lang w:val="en-US" w:eastAsia="zh-CN" w:bidi="ar-SA"/>
              </w:rPr>
              <w:t>同比</w:t>
            </w:r>
          </w:p>
        </w:tc>
        <w:tc>
          <w:tcPr>
            <w:tcW w:w="909" w:type="dxa"/>
          </w:tcPr>
          <w:p>
            <w:pPr>
              <w:pStyle w:val="2"/>
              <w:keepNext w:val="0"/>
              <w:keepLines w:val="0"/>
              <w:pageBreakBefore w:val="0"/>
              <w:suppressLineNumbers w:val="0"/>
              <w:kinsoku/>
              <w:wordWrap/>
              <w:overflowPunct/>
              <w:topLinePunct w:val="0"/>
              <w:autoSpaceDE/>
              <w:autoSpaceDN/>
              <w:bidi w:val="0"/>
              <w:adjustRightInd/>
              <w:snapToGrid/>
              <w:spacing w:line="560" w:lineRule="exact"/>
              <w:ind w:left="0" w:right="0"/>
              <w:jc w:val="center"/>
              <w:textAlignment w:val="auto"/>
              <w:rPr>
                <w:rFonts w:hint="eastAsia" w:ascii="仿宋" w:hAnsi="仿宋" w:eastAsia="仿宋" w:cs="宋体"/>
                <w:b w:val="0"/>
                <w:bCs w:val="0"/>
                <w:color w:val="auto"/>
                <w:kern w:val="0"/>
                <w:sz w:val="22"/>
                <w:szCs w:val="22"/>
                <w:highlight w:val="yellow"/>
                <w:u w:val="none"/>
                <w:lang w:val="en-US" w:eastAsia="zh-CN" w:bidi="ar-SA"/>
              </w:rPr>
            </w:pPr>
            <w:r>
              <w:rPr>
                <w:rFonts w:hint="eastAsia" w:ascii="仿宋" w:hAnsi="仿宋" w:eastAsia="仿宋" w:cs="宋体"/>
                <w:b w:val="0"/>
                <w:bCs w:val="0"/>
                <w:color w:val="auto"/>
                <w:kern w:val="0"/>
                <w:sz w:val="22"/>
                <w:szCs w:val="22"/>
                <w:highlight w:val="yellow"/>
                <w:u w:val="none"/>
                <w:lang w:val="en-US" w:eastAsia="zh-CN" w:bidi="ar-SA"/>
              </w:rPr>
              <w:t>-53.98%</w:t>
            </w:r>
          </w:p>
        </w:tc>
        <w:tc>
          <w:tcPr>
            <w:tcW w:w="914" w:type="dxa"/>
          </w:tcPr>
          <w:p>
            <w:pPr>
              <w:pStyle w:val="2"/>
              <w:keepNext w:val="0"/>
              <w:keepLines w:val="0"/>
              <w:pageBreakBefore w:val="0"/>
              <w:suppressLineNumbers w:val="0"/>
              <w:kinsoku/>
              <w:wordWrap/>
              <w:overflowPunct/>
              <w:topLinePunct w:val="0"/>
              <w:autoSpaceDE/>
              <w:autoSpaceDN/>
              <w:bidi w:val="0"/>
              <w:adjustRightInd/>
              <w:snapToGrid/>
              <w:spacing w:line="560" w:lineRule="exact"/>
              <w:ind w:left="0" w:right="0"/>
              <w:jc w:val="center"/>
              <w:textAlignment w:val="auto"/>
              <w:rPr>
                <w:rFonts w:hint="eastAsia" w:ascii="仿宋" w:hAnsi="仿宋" w:eastAsia="仿宋" w:cs="宋体"/>
                <w:b w:val="0"/>
                <w:bCs w:val="0"/>
                <w:color w:val="auto"/>
                <w:kern w:val="0"/>
                <w:sz w:val="22"/>
                <w:szCs w:val="22"/>
                <w:highlight w:val="yellow"/>
                <w:u w:val="none"/>
                <w:lang w:val="en-US" w:eastAsia="zh-CN" w:bidi="ar-SA"/>
              </w:rPr>
            </w:pPr>
            <w:r>
              <w:rPr>
                <w:rFonts w:hint="eastAsia" w:ascii="仿宋" w:hAnsi="仿宋" w:eastAsia="仿宋" w:cs="宋体"/>
                <w:b w:val="0"/>
                <w:bCs w:val="0"/>
                <w:color w:val="auto"/>
                <w:kern w:val="0"/>
                <w:sz w:val="22"/>
                <w:szCs w:val="22"/>
                <w:highlight w:val="yellow"/>
                <w:u w:val="none"/>
                <w:lang w:val="en-US" w:eastAsia="zh-CN" w:bidi="ar-SA"/>
              </w:rPr>
              <w:t>-</w:t>
            </w:r>
          </w:p>
        </w:tc>
        <w:tc>
          <w:tcPr>
            <w:tcW w:w="1035" w:type="dxa"/>
          </w:tcPr>
          <w:p>
            <w:pPr>
              <w:pStyle w:val="2"/>
              <w:keepNext w:val="0"/>
              <w:keepLines w:val="0"/>
              <w:pageBreakBefore w:val="0"/>
              <w:suppressLineNumbers w:val="0"/>
              <w:kinsoku/>
              <w:wordWrap/>
              <w:overflowPunct/>
              <w:topLinePunct w:val="0"/>
              <w:autoSpaceDE/>
              <w:autoSpaceDN/>
              <w:bidi w:val="0"/>
              <w:adjustRightInd/>
              <w:snapToGrid/>
              <w:spacing w:line="560" w:lineRule="exact"/>
              <w:ind w:left="0" w:right="0"/>
              <w:jc w:val="center"/>
              <w:textAlignment w:val="auto"/>
              <w:rPr>
                <w:rFonts w:hint="eastAsia" w:ascii="仿宋" w:hAnsi="仿宋" w:eastAsia="仿宋" w:cs="宋体"/>
                <w:b w:val="0"/>
                <w:bCs w:val="0"/>
                <w:color w:val="auto"/>
                <w:kern w:val="0"/>
                <w:sz w:val="22"/>
                <w:szCs w:val="22"/>
                <w:highlight w:val="yellow"/>
                <w:u w:val="none"/>
                <w:lang w:val="en-US" w:eastAsia="zh-CN" w:bidi="ar-SA"/>
              </w:rPr>
            </w:pPr>
            <w:r>
              <w:rPr>
                <w:rFonts w:hint="eastAsia" w:ascii="仿宋" w:hAnsi="仿宋" w:eastAsia="仿宋" w:cs="宋体"/>
                <w:b w:val="0"/>
                <w:bCs w:val="0"/>
                <w:color w:val="auto"/>
                <w:kern w:val="0"/>
                <w:sz w:val="22"/>
                <w:szCs w:val="22"/>
                <w:highlight w:val="yellow"/>
                <w:u w:val="none"/>
                <w:lang w:val="en-US" w:eastAsia="zh-CN" w:bidi="ar-SA"/>
              </w:rPr>
              <w:t>233.33%</w:t>
            </w:r>
          </w:p>
        </w:tc>
        <w:tc>
          <w:tcPr>
            <w:tcW w:w="849" w:type="dxa"/>
          </w:tcPr>
          <w:p>
            <w:pPr>
              <w:pStyle w:val="2"/>
              <w:keepNext w:val="0"/>
              <w:keepLines w:val="0"/>
              <w:pageBreakBefore w:val="0"/>
              <w:suppressLineNumbers w:val="0"/>
              <w:kinsoku/>
              <w:wordWrap/>
              <w:overflowPunct/>
              <w:topLinePunct w:val="0"/>
              <w:autoSpaceDE/>
              <w:autoSpaceDN/>
              <w:bidi w:val="0"/>
              <w:adjustRightInd/>
              <w:snapToGrid/>
              <w:spacing w:line="560" w:lineRule="exact"/>
              <w:ind w:left="0" w:right="0"/>
              <w:jc w:val="center"/>
              <w:textAlignment w:val="auto"/>
              <w:rPr>
                <w:rFonts w:hint="eastAsia" w:ascii="仿宋" w:hAnsi="仿宋" w:eastAsia="仿宋" w:cs="宋体"/>
                <w:b w:val="0"/>
                <w:bCs w:val="0"/>
                <w:color w:val="auto"/>
                <w:kern w:val="0"/>
                <w:sz w:val="22"/>
                <w:szCs w:val="22"/>
                <w:highlight w:val="yellow"/>
                <w:u w:val="none"/>
                <w:lang w:val="en-US" w:eastAsia="zh-CN" w:bidi="ar-SA"/>
              </w:rPr>
            </w:pPr>
            <w:r>
              <w:rPr>
                <w:rFonts w:hint="eastAsia" w:ascii="仿宋" w:hAnsi="仿宋" w:eastAsia="仿宋" w:cs="宋体"/>
                <w:b w:val="0"/>
                <w:bCs w:val="0"/>
                <w:color w:val="auto"/>
                <w:kern w:val="0"/>
                <w:sz w:val="22"/>
                <w:szCs w:val="22"/>
                <w:highlight w:val="yellow"/>
                <w:u w:val="none"/>
                <w:lang w:val="en-US" w:eastAsia="zh-CN" w:bidi="ar-SA"/>
              </w:rPr>
              <w:t>-68.75%</w:t>
            </w:r>
          </w:p>
        </w:tc>
        <w:tc>
          <w:tcPr>
            <w:tcW w:w="743" w:type="dxa"/>
          </w:tcPr>
          <w:p>
            <w:pPr>
              <w:pStyle w:val="2"/>
              <w:keepNext w:val="0"/>
              <w:keepLines w:val="0"/>
              <w:pageBreakBefore w:val="0"/>
              <w:suppressLineNumbers w:val="0"/>
              <w:kinsoku/>
              <w:wordWrap/>
              <w:overflowPunct/>
              <w:topLinePunct w:val="0"/>
              <w:autoSpaceDE/>
              <w:autoSpaceDN/>
              <w:bidi w:val="0"/>
              <w:adjustRightInd/>
              <w:snapToGrid/>
              <w:spacing w:line="560" w:lineRule="exact"/>
              <w:ind w:left="0" w:right="0"/>
              <w:jc w:val="center"/>
              <w:textAlignment w:val="auto"/>
              <w:rPr>
                <w:rFonts w:hint="eastAsia" w:ascii="仿宋" w:hAnsi="仿宋" w:eastAsia="仿宋" w:cs="宋体"/>
                <w:b w:val="0"/>
                <w:bCs w:val="0"/>
                <w:color w:val="auto"/>
                <w:kern w:val="0"/>
                <w:sz w:val="22"/>
                <w:szCs w:val="22"/>
                <w:highlight w:val="yellow"/>
                <w:u w:val="none"/>
                <w:lang w:val="en-US" w:eastAsia="zh-CN" w:bidi="ar-SA"/>
              </w:rPr>
            </w:pPr>
            <w:r>
              <w:rPr>
                <w:rFonts w:hint="eastAsia" w:ascii="仿宋" w:hAnsi="仿宋" w:eastAsia="仿宋" w:cs="宋体"/>
                <w:b w:val="0"/>
                <w:bCs w:val="0"/>
                <w:color w:val="auto"/>
                <w:kern w:val="0"/>
                <w:sz w:val="22"/>
                <w:szCs w:val="22"/>
                <w:highlight w:val="yellow"/>
                <w:u w:val="none"/>
                <w:lang w:val="en-US" w:eastAsia="zh-CN" w:bidi="ar-SA"/>
              </w:rPr>
              <w:t>600%</w:t>
            </w:r>
          </w:p>
        </w:tc>
        <w:tc>
          <w:tcPr>
            <w:tcW w:w="734" w:type="dxa"/>
          </w:tcPr>
          <w:p>
            <w:pPr>
              <w:pStyle w:val="2"/>
              <w:keepNext w:val="0"/>
              <w:keepLines w:val="0"/>
              <w:pageBreakBefore w:val="0"/>
              <w:suppressLineNumbers w:val="0"/>
              <w:kinsoku/>
              <w:wordWrap/>
              <w:overflowPunct/>
              <w:topLinePunct w:val="0"/>
              <w:autoSpaceDE/>
              <w:autoSpaceDN/>
              <w:bidi w:val="0"/>
              <w:adjustRightInd/>
              <w:snapToGrid/>
              <w:spacing w:line="560" w:lineRule="exact"/>
              <w:ind w:left="0" w:right="0"/>
              <w:jc w:val="center"/>
              <w:textAlignment w:val="auto"/>
              <w:rPr>
                <w:rFonts w:hint="eastAsia" w:ascii="仿宋" w:hAnsi="仿宋" w:eastAsia="仿宋" w:cs="宋体"/>
                <w:b w:val="0"/>
                <w:bCs w:val="0"/>
                <w:color w:val="auto"/>
                <w:kern w:val="0"/>
                <w:sz w:val="22"/>
                <w:szCs w:val="22"/>
                <w:highlight w:val="yellow"/>
                <w:u w:val="none"/>
                <w:lang w:val="en-US" w:eastAsia="zh-CN" w:bidi="ar-SA"/>
              </w:rPr>
            </w:pPr>
            <w:r>
              <w:rPr>
                <w:rFonts w:hint="eastAsia" w:ascii="仿宋" w:hAnsi="仿宋" w:eastAsia="仿宋" w:cs="宋体"/>
                <w:b w:val="0"/>
                <w:bCs w:val="0"/>
                <w:color w:val="auto"/>
                <w:kern w:val="0"/>
                <w:sz w:val="22"/>
                <w:szCs w:val="22"/>
                <w:highlight w:val="yellow"/>
                <w:u w:val="none"/>
                <w:lang w:val="en-US" w:eastAsia="zh-CN" w:bidi="ar-SA"/>
              </w:rPr>
              <w:t>-</w:t>
            </w:r>
          </w:p>
        </w:tc>
        <w:tc>
          <w:tcPr>
            <w:tcW w:w="765" w:type="dxa"/>
          </w:tcPr>
          <w:p>
            <w:pPr>
              <w:pStyle w:val="2"/>
              <w:keepNext w:val="0"/>
              <w:keepLines w:val="0"/>
              <w:pageBreakBefore w:val="0"/>
              <w:suppressLineNumbers w:val="0"/>
              <w:kinsoku/>
              <w:wordWrap/>
              <w:overflowPunct/>
              <w:topLinePunct w:val="0"/>
              <w:autoSpaceDE/>
              <w:autoSpaceDN/>
              <w:bidi w:val="0"/>
              <w:adjustRightInd/>
              <w:snapToGrid/>
              <w:spacing w:line="560" w:lineRule="exact"/>
              <w:ind w:left="0" w:right="0"/>
              <w:jc w:val="center"/>
              <w:textAlignment w:val="auto"/>
              <w:rPr>
                <w:rFonts w:hint="eastAsia" w:ascii="仿宋" w:hAnsi="仿宋" w:eastAsia="仿宋" w:cs="宋体"/>
                <w:b w:val="0"/>
                <w:bCs w:val="0"/>
                <w:color w:val="auto"/>
                <w:kern w:val="0"/>
                <w:sz w:val="22"/>
                <w:szCs w:val="22"/>
                <w:highlight w:val="yellow"/>
                <w:u w:val="none"/>
                <w:lang w:val="en-US" w:eastAsia="zh-CN" w:bidi="ar-SA"/>
              </w:rPr>
            </w:pPr>
            <w:r>
              <w:rPr>
                <w:rFonts w:hint="eastAsia" w:ascii="仿宋" w:hAnsi="仿宋" w:eastAsia="仿宋" w:cs="宋体"/>
                <w:b w:val="0"/>
                <w:bCs w:val="0"/>
                <w:color w:val="auto"/>
                <w:kern w:val="0"/>
                <w:sz w:val="22"/>
                <w:szCs w:val="22"/>
                <w:highlight w:val="yellow"/>
                <w:u w:val="none"/>
                <w:lang w:val="en-US" w:eastAsia="zh-CN" w:bidi="ar-SA"/>
              </w:rPr>
              <w:t>-</w:t>
            </w:r>
          </w:p>
        </w:tc>
        <w:tc>
          <w:tcPr>
            <w:tcW w:w="735" w:type="dxa"/>
          </w:tcPr>
          <w:p>
            <w:pPr>
              <w:pStyle w:val="2"/>
              <w:keepNext w:val="0"/>
              <w:keepLines w:val="0"/>
              <w:pageBreakBefore w:val="0"/>
              <w:suppressLineNumbers w:val="0"/>
              <w:kinsoku/>
              <w:wordWrap/>
              <w:overflowPunct/>
              <w:topLinePunct w:val="0"/>
              <w:autoSpaceDE/>
              <w:autoSpaceDN/>
              <w:bidi w:val="0"/>
              <w:adjustRightInd/>
              <w:snapToGrid/>
              <w:spacing w:line="560" w:lineRule="exact"/>
              <w:ind w:left="0" w:right="0"/>
              <w:jc w:val="center"/>
              <w:textAlignment w:val="auto"/>
              <w:rPr>
                <w:rFonts w:hint="eastAsia" w:ascii="仿宋" w:hAnsi="仿宋" w:eastAsia="仿宋" w:cs="宋体"/>
                <w:b w:val="0"/>
                <w:bCs w:val="0"/>
                <w:color w:val="auto"/>
                <w:kern w:val="0"/>
                <w:sz w:val="22"/>
                <w:szCs w:val="22"/>
                <w:highlight w:val="yellow"/>
                <w:u w:val="none"/>
                <w:lang w:val="en-US" w:eastAsia="zh-CN" w:bidi="ar-SA"/>
              </w:rPr>
            </w:pPr>
            <w:r>
              <w:rPr>
                <w:rFonts w:hint="eastAsia" w:ascii="仿宋" w:hAnsi="仿宋" w:eastAsia="仿宋" w:cs="宋体"/>
                <w:b w:val="0"/>
                <w:bCs w:val="0"/>
                <w:color w:val="auto"/>
                <w:kern w:val="0"/>
                <w:sz w:val="22"/>
                <w:szCs w:val="22"/>
                <w:highlight w:val="yellow"/>
                <w:u w:val="none"/>
                <w:lang w:val="en-US" w:eastAsia="zh-CN" w:bidi="ar-SA"/>
              </w:rPr>
              <w:t>-30.96%</w:t>
            </w:r>
          </w:p>
        </w:tc>
        <w:tc>
          <w:tcPr>
            <w:tcW w:w="1229" w:type="dxa"/>
            <w:vAlign w:val="top"/>
          </w:tcPr>
          <w:p>
            <w:pPr>
              <w:pStyle w:val="2"/>
              <w:keepNext w:val="0"/>
              <w:keepLines w:val="0"/>
              <w:pageBreakBefore w:val="0"/>
              <w:suppressLineNumbers w:val="0"/>
              <w:kinsoku/>
              <w:wordWrap/>
              <w:overflowPunct/>
              <w:topLinePunct w:val="0"/>
              <w:autoSpaceDE/>
              <w:autoSpaceDN/>
              <w:bidi w:val="0"/>
              <w:adjustRightInd/>
              <w:snapToGrid/>
              <w:spacing w:line="560" w:lineRule="exact"/>
              <w:ind w:left="0" w:right="0"/>
              <w:jc w:val="center"/>
              <w:textAlignment w:val="auto"/>
              <w:rPr>
                <w:rFonts w:hint="eastAsia" w:ascii="仿宋" w:hAnsi="仿宋" w:eastAsia="仿宋" w:cs="宋体"/>
                <w:b w:val="0"/>
                <w:bCs w:val="0"/>
                <w:color w:val="auto"/>
                <w:kern w:val="0"/>
                <w:sz w:val="22"/>
                <w:szCs w:val="22"/>
                <w:highlight w:val="yellow"/>
                <w:u w:val="none"/>
                <w:lang w:val="en-US" w:eastAsia="zh-CN" w:bidi="ar-SA"/>
              </w:rPr>
            </w:pPr>
            <w:r>
              <w:rPr>
                <w:rFonts w:hint="eastAsia" w:ascii="仿宋" w:hAnsi="仿宋" w:eastAsia="仿宋" w:cs="宋体"/>
                <w:b w:val="0"/>
                <w:bCs w:val="0"/>
                <w:color w:val="auto"/>
                <w:kern w:val="0"/>
                <w:sz w:val="22"/>
                <w:szCs w:val="22"/>
                <w:highlight w:val="yellow"/>
                <w:u w:val="none"/>
                <w:lang w:val="en-US" w:eastAsia="zh-CN" w:bidi="ar-SA"/>
              </w:rPr>
              <w:t>-39.84%</w:t>
            </w:r>
          </w:p>
        </w:tc>
      </w:tr>
    </w:tbl>
    <w:p>
      <w:pPr>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楷体" w:hAnsi="楷体" w:eastAsia="楷体" w:cs="楷体"/>
          <w:b/>
          <w:bCs/>
          <w:color w:val="auto"/>
          <w:kern w:val="0"/>
          <w:sz w:val="32"/>
          <w:szCs w:val="32"/>
          <w:lang w:val="en-US" w:eastAsia="zh-CN" w:bidi="ar-SA"/>
        </w:rPr>
      </w:pPr>
    </w:p>
    <w:p>
      <w:pPr>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楷体" w:hAnsi="楷体" w:eastAsia="楷体" w:cs="楷体"/>
          <w:b/>
          <w:bCs/>
          <w:color w:val="auto"/>
          <w:kern w:val="0"/>
          <w:sz w:val="32"/>
          <w:szCs w:val="32"/>
          <w:lang w:val="en-US" w:eastAsia="zh-CN" w:bidi="ar-SA"/>
        </w:rPr>
      </w:pPr>
      <w:r>
        <w:rPr>
          <w:rFonts w:hint="eastAsia" w:ascii="楷体" w:hAnsi="楷体" w:eastAsia="楷体" w:cs="楷体"/>
          <w:b/>
          <w:bCs/>
          <w:color w:val="auto"/>
          <w:kern w:val="0"/>
          <w:sz w:val="32"/>
          <w:szCs w:val="32"/>
          <w:lang w:val="en-US" w:eastAsia="zh-CN" w:bidi="ar-SA"/>
        </w:rPr>
        <w:t>（二）免予处罚情况</w:t>
      </w:r>
    </w:p>
    <w:p>
      <w:pPr>
        <w:widowControl/>
        <w:spacing w:after="0" w:line="560" w:lineRule="exact"/>
        <w:ind w:firstLine="640" w:firstLineChars="200"/>
        <w:jc w:val="left"/>
        <w:rPr>
          <w:rFonts w:hint="eastAsia" w:ascii="仿宋" w:hAnsi="仿宋" w:eastAsia="仿宋"/>
          <w:color w:val="000000"/>
          <w:kern w:val="0"/>
          <w:sz w:val="32"/>
          <w:szCs w:val="32"/>
          <w:highlight w:val="yellow"/>
        </w:rPr>
      </w:pPr>
      <w:r>
        <w:rPr>
          <w:rFonts w:hint="eastAsia" w:ascii="仿宋" w:hAnsi="仿宋" w:eastAsia="仿宋"/>
          <w:color w:val="000000"/>
          <w:kern w:val="0"/>
          <w:sz w:val="32"/>
          <w:szCs w:val="32"/>
          <w:highlight w:val="yellow"/>
        </w:rPr>
        <w:t>202</w:t>
      </w:r>
      <w:r>
        <w:rPr>
          <w:rFonts w:hint="eastAsia" w:ascii="仿宋" w:hAnsi="仿宋" w:eastAsia="仿宋"/>
          <w:color w:val="000000"/>
          <w:kern w:val="0"/>
          <w:sz w:val="32"/>
          <w:szCs w:val="32"/>
          <w:highlight w:val="yellow"/>
          <w:lang w:val="en-US" w:eastAsia="zh-CN"/>
        </w:rPr>
        <w:t>5</w:t>
      </w:r>
      <w:r>
        <w:rPr>
          <w:rFonts w:hint="eastAsia" w:ascii="仿宋" w:hAnsi="仿宋" w:eastAsia="仿宋"/>
          <w:color w:val="000000"/>
          <w:kern w:val="0"/>
          <w:sz w:val="32"/>
          <w:szCs w:val="32"/>
          <w:highlight w:val="yellow"/>
        </w:rPr>
        <w:t>年全市生态</w:t>
      </w:r>
      <w:r>
        <w:rPr>
          <w:rFonts w:ascii="仿宋" w:hAnsi="仿宋" w:eastAsia="仿宋"/>
          <w:color w:val="000000"/>
          <w:kern w:val="0"/>
          <w:sz w:val="32"/>
          <w:szCs w:val="32"/>
          <w:highlight w:val="yellow"/>
        </w:rPr>
        <w:t>环境</w:t>
      </w:r>
      <w:r>
        <w:rPr>
          <w:rFonts w:hint="eastAsia" w:ascii="仿宋" w:hAnsi="仿宋" w:eastAsia="仿宋"/>
          <w:color w:val="000000"/>
          <w:kern w:val="0"/>
          <w:sz w:val="32"/>
          <w:szCs w:val="32"/>
          <w:highlight w:val="yellow"/>
        </w:rPr>
        <w:t>免予处罚案件</w:t>
      </w:r>
      <w:r>
        <w:rPr>
          <w:rFonts w:ascii="仿宋" w:hAnsi="仿宋" w:eastAsia="仿宋"/>
          <w:color w:val="000000"/>
          <w:kern w:val="0"/>
          <w:sz w:val="32"/>
          <w:szCs w:val="32"/>
          <w:highlight w:val="yellow"/>
        </w:rPr>
        <w:t>共</w:t>
      </w:r>
      <w:r>
        <w:rPr>
          <w:rFonts w:hint="eastAsia" w:ascii="仿宋" w:hAnsi="仿宋" w:eastAsia="仿宋"/>
          <w:color w:val="000000"/>
          <w:kern w:val="0"/>
          <w:sz w:val="32"/>
          <w:szCs w:val="32"/>
          <w:highlight w:val="yellow"/>
          <w:lang w:val="en-US" w:eastAsia="zh-CN"/>
        </w:rPr>
        <w:t>61</w:t>
      </w:r>
      <w:r>
        <w:rPr>
          <w:rFonts w:hint="eastAsia" w:ascii="仿宋" w:hAnsi="仿宋" w:eastAsia="仿宋"/>
          <w:color w:val="000000"/>
          <w:kern w:val="0"/>
          <w:sz w:val="32"/>
          <w:szCs w:val="32"/>
          <w:highlight w:val="yellow"/>
        </w:rPr>
        <w:t>件,免予处罚金额</w:t>
      </w:r>
      <w:r>
        <w:rPr>
          <w:rFonts w:hint="eastAsia" w:ascii="仿宋" w:hAnsi="仿宋" w:eastAsia="仿宋"/>
          <w:color w:val="000000"/>
          <w:kern w:val="0"/>
          <w:sz w:val="32"/>
          <w:szCs w:val="32"/>
          <w:highlight w:val="yellow"/>
          <w:lang w:val="en-US" w:eastAsia="zh-CN"/>
        </w:rPr>
        <w:t>2726</w:t>
      </w:r>
      <w:r>
        <w:rPr>
          <w:rFonts w:hint="eastAsia" w:ascii="仿宋" w:hAnsi="仿宋" w:eastAsia="仿宋"/>
          <w:color w:val="000000"/>
          <w:kern w:val="0"/>
          <w:sz w:val="32"/>
          <w:szCs w:val="32"/>
          <w:highlight w:val="yellow"/>
        </w:rPr>
        <w:t>万元。</w:t>
      </w:r>
    </w:p>
    <w:p>
      <w:pPr>
        <w:widowControl/>
        <w:spacing w:after="0" w:line="560" w:lineRule="exact"/>
        <w:ind w:firstLine="642" w:firstLineChars="200"/>
        <w:jc w:val="left"/>
        <w:rPr>
          <w:rFonts w:ascii="楷体" w:hAnsi="楷体" w:eastAsia="楷体" w:cs="楷体"/>
          <w:b/>
          <w:bCs/>
          <w:color w:val="000000"/>
          <w:kern w:val="0"/>
          <w:sz w:val="32"/>
          <w:szCs w:val="32"/>
        </w:rPr>
      </w:pPr>
      <w:r>
        <w:rPr>
          <w:rFonts w:hint="eastAsia" w:ascii="楷体" w:hAnsi="楷体" w:eastAsia="楷体" w:cs="楷体"/>
          <w:b/>
          <w:bCs/>
          <w:color w:val="000000"/>
          <w:kern w:val="0"/>
          <w:sz w:val="32"/>
          <w:szCs w:val="32"/>
        </w:rPr>
        <w:t>（三）立案未处罚情况</w:t>
      </w:r>
    </w:p>
    <w:p>
      <w:pPr>
        <w:widowControl/>
        <w:spacing w:after="0" w:line="560" w:lineRule="exact"/>
        <w:ind w:firstLine="640" w:firstLineChars="200"/>
        <w:jc w:val="left"/>
        <w:rPr>
          <w:rFonts w:hint="eastAsia" w:ascii="仿宋" w:hAnsi="仿宋" w:eastAsia="仿宋"/>
          <w:color w:val="000000"/>
          <w:kern w:val="0"/>
          <w:sz w:val="32"/>
          <w:szCs w:val="32"/>
          <w:highlight w:val="yellow"/>
        </w:rPr>
      </w:pPr>
      <w:r>
        <w:rPr>
          <w:rFonts w:hint="eastAsia" w:ascii="仿宋" w:hAnsi="仿宋" w:eastAsia="仿宋"/>
          <w:color w:val="000000"/>
          <w:kern w:val="0"/>
          <w:sz w:val="32"/>
          <w:szCs w:val="32"/>
          <w:highlight w:val="yellow"/>
        </w:rPr>
        <w:t>202</w:t>
      </w:r>
      <w:r>
        <w:rPr>
          <w:rFonts w:hint="eastAsia" w:ascii="仿宋" w:hAnsi="仿宋" w:eastAsia="仿宋"/>
          <w:color w:val="000000"/>
          <w:kern w:val="0"/>
          <w:sz w:val="32"/>
          <w:szCs w:val="32"/>
          <w:highlight w:val="yellow"/>
          <w:lang w:val="en-US" w:eastAsia="zh-CN"/>
        </w:rPr>
        <w:t>5</w:t>
      </w:r>
      <w:r>
        <w:rPr>
          <w:rFonts w:hint="eastAsia" w:ascii="仿宋" w:hAnsi="仿宋" w:eastAsia="仿宋"/>
          <w:color w:val="000000"/>
          <w:kern w:val="0"/>
          <w:sz w:val="32"/>
          <w:szCs w:val="32"/>
          <w:highlight w:val="yellow"/>
        </w:rPr>
        <w:t>年全市生态环境行政处罚</w:t>
      </w:r>
      <w:r>
        <w:rPr>
          <w:rFonts w:hint="eastAsia" w:ascii="仿宋" w:hAnsi="仿宋" w:eastAsia="仿宋"/>
          <w:color w:val="000000"/>
          <w:kern w:val="0"/>
          <w:sz w:val="32"/>
          <w:szCs w:val="32"/>
          <w:highlight w:val="yellow"/>
          <w:lang w:val="en-US" w:eastAsia="zh-CN"/>
        </w:rPr>
        <w:t>9</w:t>
      </w:r>
      <w:r>
        <w:rPr>
          <w:rFonts w:hint="eastAsia" w:ascii="仿宋" w:hAnsi="仿宋" w:eastAsia="仿宋"/>
          <w:color w:val="000000"/>
          <w:kern w:val="0"/>
          <w:sz w:val="32"/>
          <w:szCs w:val="32"/>
          <w:highlight w:val="yellow"/>
        </w:rPr>
        <w:t>个案件因事实不清、证据不足等原因销案。</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楷体" w:hAnsi="楷体" w:eastAsia="楷体" w:cs="楷体"/>
          <w:b/>
          <w:bCs/>
          <w:color w:val="000000"/>
          <w:kern w:val="0"/>
          <w:sz w:val="32"/>
          <w:szCs w:val="32"/>
          <w:lang w:val="en-US" w:eastAsia="zh-CN" w:bidi="ar-SA"/>
        </w:rPr>
      </w:pPr>
      <w:r>
        <w:rPr>
          <w:rFonts w:hint="eastAsia" w:ascii="黑体" w:hAnsi="黑体" w:eastAsia="黑体" w:cs="黑体"/>
          <w:b w:val="0"/>
          <w:bCs w:val="0"/>
          <w:color w:val="000000"/>
          <w:kern w:val="0"/>
          <w:sz w:val="32"/>
          <w:szCs w:val="32"/>
          <w:lang w:val="en-US" w:eastAsia="zh-CN" w:bidi="ar-SA"/>
        </w:rPr>
        <w:t>二、生态环境行政处罚具体情况</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楷体" w:hAnsi="楷体" w:eastAsia="楷体" w:cs="楷体"/>
          <w:b/>
          <w:bCs/>
          <w:color w:val="000000"/>
          <w:kern w:val="0"/>
          <w:sz w:val="32"/>
          <w:szCs w:val="32"/>
          <w:highlight w:val="yellow"/>
          <w:lang w:val="en-US" w:eastAsia="zh-CN" w:bidi="ar-SA"/>
        </w:rPr>
      </w:pPr>
      <w:r>
        <w:rPr>
          <w:rFonts w:hint="eastAsia" w:ascii="楷体" w:hAnsi="楷体" w:eastAsia="楷体" w:cs="楷体"/>
          <w:b/>
          <w:bCs/>
          <w:color w:val="000000"/>
          <w:kern w:val="0"/>
          <w:sz w:val="32"/>
          <w:szCs w:val="32"/>
          <w:highlight w:val="yellow"/>
          <w:lang w:val="en-US" w:eastAsia="zh-CN" w:bidi="ar-SA"/>
        </w:rPr>
        <w:t>（一）查处的违法主体情况</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b/>
          <w:bCs/>
          <w:color w:val="auto"/>
          <w:kern w:val="0"/>
          <w:sz w:val="32"/>
          <w:szCs w:val="32"/>
          <w:lang w:val="en-US" w:eastAsia="zh-CN" w:bidi="ar-SA"/>
        </w:rPr>
      </w:pPr>
      <w:r>
        <w:rPr>
          <w:rFonts w:hint="eastAsia" w:ascii="仿宋" w:hAnsi="仿宋" w:eastAsia="仿宋" w:cs="宋体"/>
          <w:b w:val="0"/>
          <w:bCs w:val="0"/>
          <w:color w:val="auto"/>
          <w:kern w:val="0"/>
          <w:sz w:val="32"/>
          <w:szCs w:val="32"/>
          <w:highlight w:val="yellow"/>
          <w:lang w:val="en-US" w:eastAsia="zh-CN" w:bidi="ar-SA"/>
        </w:rPr>
        <w:t>2025年191件罚款案件中，处罚企事业单位和其他生产经营者的186件，占比97.4%；处罚个人的5件，占比2.6%。</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642" w:firstLineChars="200"/>
        <w:jc w:val="both"/>
        <w:textAlignment w:val="auto"/>
        <w:rPr>
          <w:rFonts w:hint="eastAsia" w:ascii="楷体" w:hAnsi="楷体" w:eastAsia="楷体" w:cs="楷体"/>
          <w:b/>
          <w:bCs/>
          <w:color w:val="000000"/>
          <w:kern w:val="0"/>
          <w:sz w:val="32"/>
          <w:szCs w:val="32"/>
          <w:lang w:val="en-US" w:eastAsia="zh-CN" w:bidi="ar-SA"/>
        </w:rPr>
      </w:pPr>
      <w:r>
        <w:rPr>
          <w:rFonts w:hint="eastAsia" w:ascii="楷体" w:hAnsi="楷体" w:eastAsia="楷体" w:cs="楷体"/>
          <w:b/>
          <w:bCs/>
          <w:color w:val="000000"/>
          <w:kern w:val="0"/>
          <w:sz w:val="32"/>
          <w:szCs w:val="32"/>
          <w:lang w:val="en-US" w:eastAsia="zh-CN" w:bidi="ar-SA"/>
        </w:rPr>
        <w:t>（二）查处的违法行为处罚事由情况</w:t>
      </w:r>
    </w:p>
    <w:p>
      <w:pPr>
        <w:pStyle w:val="2"/>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 w:hAnsi="仿宋" w:eastAsia="仿宋" w:cs="宋体"/>
          <w:b w:val="0"/>
          <w:bCs w:val="0"/>
          <w:color w:val="auto"/>
          <w:kern w:val="0"/>
          <w:sz w:val="32"/>
          <w:szCs w:val="32"/>
          <w:highlight w:val="yellow"/>
          <w:lang w:val="en-US" w:eastAsia="zh-CN" w:bidi="ar-SA"/>
        </w:rPr>
      </w:pPr>
      <w:r>
        <w:rPr>
          <w:rFonts w:hint="eastAsia" w:ascii="仿宋" w:hAnsi="仿宋" w:eastAsia="仿宋" w:cs="宋体"/>
          <w:b w:val="0"/>
          <w:bCs w:val="0"/>
          <w:color w:val="auto"/>
          <w:kern w:val="0"/>
          <w:sz w:val="32"/>
          <w:szCs w:val="32"/>
          <w:highlight w:val="yellow"/>
          <w:lang w:val="en-US" w:eastAsia="zh-CN" w:bidi="ar-SA"/>
        </w:rPr>
        <w:t>2025年191件罚款案件中，</w:t>
      </w:r>
      <w:bookmarkStart w:id="0" w:name="OLE_LINK2"/>
      <w:r>
        <w:rPr>
          <w:rFonts w:hint="eastAsia" w:ascii="仿宋" w:hAnsi="仿宋" w:eastAsia="仿宋" w:cs="宋体"/>
          <w:b/>
          <w:bCs/>
          <w:color w:val="auto"/>
          <w:kern w:val="0"/>
          <w:sz w:val="32"/>
          <w:szCs w:val="32"/>
          <w:highlight w:val="yellow"/>
          <w:lang w:val="en-US" w:eastAsia="zh-CN" w:bidi="ar-SA"/>
        </w:rPr>
        <w:t>涉气案件</w:t>
      </w:r>
      <w:bookmarkEnd w:id="0"/>
      <w:r>
        <w:rPr>
          <w:rFonts w:hint="eastAsia" w:ascii="仿宋" w:hAnsi="仿宋" w:eastAsia="仿宋" w:cs="宋体"/>
          <w:b/>
          <w:bCs/>
          <w:color w:val="auto"/>
          <w:kern w:val="0"/>
          <w:sz w:val="32"/>
          <w:szCs w:val="32"/>
          <w:highlight w:val="yellow"/>
          <w:lang w:val="en-US" w:eastAsia="zh-CN" w:bidi="ar-SA"/>
        </w:rPr>
        <w:t>119</w:t>
      </w:r>
      <w:r>
        <w:rPr>
          <w:rFonts w:hint="eastAsia" w:ascii="仿宋" w:hAnsi="仿宋" w:eastAsia="仿宋" w:cs="宋体"/>
          <w:b w:val="0"/>
          <w:bCs w:val="0"/>
          <w:color w:val="auto"/>
          <w:kern w:val="0"/>
          <w:sz w:val="32"/>
          <w:szCs w:val="32"/>
          <w:highlight w:val="yellow"/>
          <w:lang w:val="en-US" w:eastAsia="zh-CN" w:bidi="ar-SA"/>
        </w:rPr>
        <w:t>件（其中不正常运行8件，超标排放0件，扬尘污染8件，无组织排放3件，涉VOC17件，涉自动监控设施5件，</w:t>
      </w:r>
      <w:bookmarkStart w:id="1" w:name="OLE_LINK3"/>
      <w:r>
        <w:rPr>
          <w:rFonts w:hint="eastAsia" w:ascii="仿宋" w:hAnsi="仿宋" w:eastAsia="仿宋" w:cs="宋体"/>
          <w:b w:val="0"/>
          <w:bCs w:val="0"/>
          <w:color w:val="auto"/>
          <w:kern w:val="0"/>
          <w:sz w:val="32"/>
          <w:szCs w:val="32"/>
          <w:highlight w:val="yellow"/>
          <w:lang w:val="en-US" w:eastAsia="zh-CN" w:bidi="ar-SA"/>
        </w:rPr>
        <w:t>重污染天气应急案件71件，</w:t>
      </w:r>
      <w:bookmarkEnd w:id="1"/>
      <w:r>
        <w:rPr>
          <w:rFonts w:hint="eastAsia" w:ascii="仿宋" w:hAnsi="仿宋" w:eastAsia="仿宋" w:cs="宋体"/>
          <w:b w:val="0"/>
          <w:bCs w:val="0"/>
          <w:color w:val="auto"/>
          <w:kern w:val="0"/>
          <w:sz w:val="32"/>
          <w:szCs w:val="32"/>
          <w:highlight w:val="yellow"/>
          <w:lang w:val="en-US" w:eastAsia="zh-CN" w:bidi="ar-SA"/>
        </w:rPr>
        <w:t>其他7件</w:t>
      </w:r>
      <w:r>
        <w:rPr>
          <w:rFonts w:hint="eastAsia" w:ascii="仿宋" w:hAnsi="仿宋" w:eastAsia="仿宋" w:cs="宋体"/>
          <w:b w:val="0"/>
          <w:bCs w:val="0"/>
          <w:color w:val="auto"/>
          <w:kern w:val="0"/>
          <w:sz w:val="32"/>
          <w:szCs w:val="32"/>
          <w:highlight w:val="yellow"/>
          <w:lang w:val="en-US" w:eastAsia="zh-CN" w:bidi="ar-SA"/>
        </w:rPr>
        <w:t>。</w:t>
      </w:r>
      <w:bookmarkStart w:id="4" w:name="_GoBack"/>
      <w:bookmarkEnd w:id="4"/>
      <w:r>
        <w:rPr>
          <w:rFonts w:hint="eastAsia" w:ascii="仿宋" w:hAnsi="仿宋" w:eastAsia="仿宋" w:cs="宋体"/>
          <w:b w:val="0"/>
          <w:bCs w:val="0"/>
          <w:color w:val="auto"/>
          <w:kern w:val="0"/>
          <w:sz w:val="32"/>
          <w:szCs w:val="32"/>
          <w:highlight w:val="yellow"/>
          <w:lang w:val="en-US" w:eastAsia="zh-CN" w:bidi="ar-SA"/>
        </w:rPr>
        <w:t>）；</w:t>
      </w:r>
      <w:r>
        <w:rPr>
          <w:rFonts w:hint="eastAsia" w:ascii="仿宋" w:hAnsi="仿宋" w:eastAsia="仿宋" w:cs="宋体"/>
          <w:b/>
          <w:bCs/>
          <w:color w:val="auto"/>
          <w:kern w:val="0"/>
          <w:sz w:val="32"/>
          <w:szCs w:val="32"/>
          <w:highlight w:val="yellow"/>
          <w:lang w:val="en-US" w:eastAsia="zh-CN" w:bidi="ar-SA"/>
        </w:rPr>
        <w:t>涉水案件</w:t>
      </w:r>
      <w:r>
        <w:rPr>
          <w:rFonts w:hint="eastAsia" w:ascii="仿宋" w:hAnsi="仿宋" w:eastAsia="仿宋" w:cs="宋体"/>
          <w:b w:val="0"/>
          <w:bCs w:val="0"/>
          <w:color w:val="auto"/>
          <w:kern w:val="0"/>
          <w:sz w:val="32"/>
          <w:szCs w:val="32"/>
          <w:highlight w:val="yellow"/>
          <w:lang w:val="en-US" w:eastAsia="zh-CN" w:bidi="ar-SA"/>
        </w:rPr>
        <w:t>8件；</w:t>
      </w:r>
      <w:r>
        <w:rPr>
          <w:rFonts w:hint="eastAsia" w:ascii="仿宋" w:hAnsi="仿宋" w:eastAsia="仿宋" w:cs="宋体"/>
          <w:b/>
          <w:bCs/>
          <w:color w:val="auto"/>
          <w:kern w:val="0"/>
          <w:sz w:val="32"/>
          <w:szCs w:val="32"/>
          <w:highlight w:val="yellow"/>
          <w:lang w:val="en-US" w:eastAsia="zh-CN" w:bidi="ar-SA"/>
        </w:rPr>
        <w:t>涉固废危废和土壤案件</w:t>
      </w:r>
      <w:r>
        <w:rPr>
          <w:rFonts w:hint="eastAsia" w:ascii="仿宋" w:hAnsi="仿宋" w:eastAsia="仿宋" w:cs="宋体"/>
          <w:b w:val="0"/>
          <w:bCs w:val="0"/>
          <w:color w:val="auto"/>
          <w:kern w:val="0"/>
          <w:sz w:val="32"/>
          <w:szCs w:val="32"/>
          <w:highlight w:val="yellow"/>
          <w:lang w:val="en-US" w:eastAsia="zh-CN" w:bidi="ar-SA"/>
        </w:rPr>
        <w:t>7件；</w:t>
      </w:r>
      <w:r>
        <w:rPr>
          <w:rFonts w:hint="eastAsia" w:ascii="仿宋" w:hAnsi="仿宋" w:eastAsia="仿宋" w:cs="宋体"/>
          <w:b/>
          <w:bCs/>
          <w:color w:val="auto"/>
          <w:kern w:val="0"/>
          <w:sz w:val="32"/>
          <w:szCs w:val="32"/>
          <w:highlight w:val="yellow"/>
          <w:lang w:val="en-US" w:eastAsia="zh-CN" w:bidi="ar-SA"/>
        </w:rPr>
        <w:t>建设项目</w:t>
      </w:r>
      <w:r>
        <w:rPr>
          <w:rFonts w:hint="eastAsia" w:ascii="仿宋" w:hAnsi="仿宋" w:eastAsia="仿宋" w:cs="宋体"/>
          <w:b w:val="0"/>
          <w:bCs w:val="0"/>
          <w:color w:val="auto"/>
          <w:kern w:val="0"/>
          <w:sz w:val="32"/>
          <w:szCs w:val="32"/>
          <w:highlight w:val="yellow"/>
          <w:lang w:val="en-US" w:eastAsia="zh-CN" w:bidi="ar-SA"/>
        </w:rPr>
        <w:t>案件3件（</w:t>
      </w:r>
      <w:r>
        <w:rPr>
          <w:rFonts w:hint="default" w:ascii="仿宋" w:hAnsi="仿宋" w:eastAsia="仿宋" w:cs="宋体"/>
          <w:b w:val="0"/>
          <w:bCs w:val="0"/>
          <w:color w:val="auto"/>
          <w:kern w:val="0"/>
          <w:sz w:val="32"/>
          <w:szCs w:val="32"/>
          <w:highlight w:val="yellow"/>
          <w:lang w:val="en-US" w:eastAsia="zh-CN" w:bidi="ar-SA"/>
        </w:rPr>
        <w:t>未批先建</w:t>
      </w:r>
      <w:r>
        <w:rPr>
          <w:rFonts w:hint="eastAsia" w:ascii="仿宋" w:hAnsi="仿宋" w:eastAsia="仿宋" w:cs="宋体"/>
          <w:b w:val="0"/>
          <w:bCs w:val="0"/>
          <w:color w:val="auto"/>
          <w:kern w:val="0"/>
          <w:sz w:val="32"/>
          <w:szCs w:val="32"/>
          <w:highlight w:val="yellow"/>
          <w:lang w:val="en-US" w:eastAsia="zh-CN" w:bidi="ar-SA"/>
        </w:rPr>
        <w:t>的1件、重大变更0件，未验先投2件）；</w:t>
      </w:r>
      <w:r>
        <w:rPr>
          <w:rFonts w:hint="eastAsia" w:ascii="仿宋" w:hAnsi="仿宋" w:eastAsia="仿宋" w:cs="宋体"/>
          <w:b/>
          <w:bCs/>
          <w:color w:val="auto"/>
          <w:kern w:val="0"/>
          <w:sz w:val="32"/>
          <w:szCs w:val="32"/>
          <w:highlight w:val="yellow"/>
          <w:lang w:val="en-US" w:eastAsia="zh-CN" w:bidi="ar-SA"/>
        </w:rPr>
        <w:t>自然生态</w:t>
      </w:r>
      <w:r>
        <w:rPr>
          <w:rFonts w:hint="eastAsia" w:ascii="仿宋" w:hAnsi="仿宋" w:eastAsia="仿宋" w:cs="宋体"/>
          <w:b w:val="0"/>
          <w:bCs w:val="0"/>
          <w:color w:val="auto"/>
          <w:kern w:val="0"/>
          <w:sz w:val="32"/>
          <w:szCs w:val="32"/>
          <w:highlight w:val="yellow"/>
          <w:lang w:val="en-US" w:eastAsia="zh-CN" w:bidi="ar-SA"/>
        </w:rPr>
        <w:t>案件0件；其他案件54件。</w:t>
      </w:r>
    </w:p>
    <w:p>
      <w:pPr>
        <w:rPr>
          <w:rFonts w:hint="eastAsia" w:ascii="楷体" w:hAnsi="楷体" w:eastAsia="楷体" w:cs="楷体"/>
          <w:b w:val="0"/>
          <w:bCs w:val="0"/>
          <w:color w:val="FF0000"/>
          <w:kern w:val="0"/>
          <w:sz w:val="21"/>
          <w:szCs w:val="21"/>
          <w:lang w:val="en-US" w:eastAsia="zh-CN" w:bidi="ar-SA"/>
        </w:rPr>
      </w:pPr>
      <w:r>
        <w:rPr>
          <w:rFonts w:hint="eastAsia"/>
          <w:lang w:val="en-US" w:eastAsia="zh-CN"/>
        </w:rPr>
        <w:drawing>
          <wp:inline distT="0" distB="0" distL="114300" distR="114300">
            <wp:extent cx="5256530" cy="2988310"/>
            <wp:effectExtent l="5080" t="4445" r="15240" b="1714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pPr>
        <w:jc w:val="center"/>
        <w:rPr>
          <w:rFonts w:hint="eastAsia" w:ascii="楷体" w:hAnsi="楷体" w:eastAsia="楷体" w:cs="楷体"/>
          <w:b w:val="0"/>
          <w:bCs w:val="0"/>
          <w:color w:val="auto"/>
          <w:kern w:val="0"/>
          <w:sz w:val="21"/>
          <w:szCs w:val="21"/>
          <w:lang w:val="en-US" w:eastAsia="zh-CN" w:bidi="ar-SA"/>
        </w:rPr>
      </w:pPr>
      <w:r>
        <w:rPr>
          <w:rFonts w:hint="eastAsia" w:ascii="楷体" w:hAnsi="楷体" w:eastAsia="楷体" w:cs="楷体"/>
          <w:b w:val="0"/>
          <w:bCs w:val="0"/>
          <w:color w:val="auto"/>
          <w:kern w:val="0"/>
          <w:sz w:val="21"/>
          <w:szCs w:val="21"/>
          <w:highlight w:val="none"/>
          <w:lang w:val="en-US" w:eastAsia="zh-CN" w:bidi="ar-SA"/>
        </w:rPr>
        <w:t>图2：</w:t>
      </w:r>
      <w:r>
        <w:rPr>
          <w:rFonts w:hint="eastAsia" w:ascii="楷体" w:hAnsi="楷体" w:eastAsia="楷体" w:cs="楷体"/>
          <w:b w:val="0"/>
          <w:bCs w:val="0"/>
          <w:color w:val="auto"/>
          <w:kern w:val="0"/>
          <w:sz w:val="21"/>
          <w:szCs w:val="21"/>
          <w:highlight w:val="none"/>
          <w:lang w:val="en-US" w:bidi="ar-SA"/>
        </w:rPr>
        <w:t>202</w:t>
      </w:r>
      <w:r>
        <w:rPr>
          <w:rFonts w:hint="eastAsia" w:ascii="楷体" w:hAnsi="楷体" w:eastAsia="楷体" w:cs="楷体"/>
          <w:b w:val="0"/>
          <w:bCs w:val="0"/>
          <w:color w:val="auto"/>
          <w:kern w:val="0"/>
          <w:sz w:val="21"/>
          <w:szCs w:val="21"/>
          <w:highlight w:val="none"/>
          <w:lang w:val="en-US" w:eastAsia="zh-CN" w:bidi="ar-SA"/>
        </w:rPr>
        <w:t>5年</w:t>
      </w:r>
      <w:r>
        <w:rPr>
          <w:rFonts w:hint="eastAsia" w:ascii="楷体" w:hAnsi="楷体" w:eastAsia="楷体" w:cs="楷体"/>
          <w:b w:val="0"/>
          <w:bCs w:val="0"/>
          <w:color w:val="auto"/>
          <w:kern w:val="0"/>
          <w:sz w:val="21"/>
          <w:szCs w:val="21"/>
          <w:highlight w:val="none"/>
          <w:lang w:val="en-US" w:bidi="ar-SA"/>
        </w:rPr>
        <w:t>违法行为类别占比</w:t>
      </w:r>
      <w:r>
        <w:rPr>
          <w:rFonts w:hint="eastAsia" w:ascii="楷体" w:hAnsi="楷体" w:eastAsia="楷体" w:cs="楷体"/>
          <w:b w:val="0"/>
          <w:bCs w:val="0"/>
          <w:color w:val="auto"/>
          <w:kern w:val="0"/>
          <w:sz w:val="21"/>
          <w:szCs w:val="21"/>
          <w:highlight w:val="none"/>
          <w:lang w:val="en-US" w:eastAsia="zh-CN" w:bidi="ar-SA"/>
        </w:rPr>
        <w:t>情况</w:t>
      </w:r>
    </w:p>
    <w:p>
      <w:pPr>
        <w:jc w:val="center"/>
        <w:rPr>
          <w:rFonts w:hint="eastAsia" w:ascii="楷体" w:hAnsi="楷体" w:eastAsia="楷体" w:cs="楷体"/>
          <w:b w:val="0"/>
          <w:bCs w:val="0"/>
          <w:color w:val="auto"/>
          <w:kern w:val="0"/>
          <w:sz w:val="21"/>
          <w:szCs w:val="21"/>
          <w:highlight w:val="none"/>
          <w:lang w:val="en-US" w:eastAsia="zh-CN" w:bidi="ar-SA"/>
        </w:rPr>
      </w:pPr>
      <w:r>
        <w:rPr>
          <w:rFonts w:hint="eastAsia" w:ascii="楷体" w:hAnsi="楷体" w:eastAsia="楷体" w:cs="楷体"/>
          <w:b w:val="0"/>
          <w:bCs w:val="0"/>
          <w:color w:val="auto"/>
          <w:kern w:val="0"/>
          <w:sz w:val="21"/>
          <w:szCs w:val="21"/>
          <w:highlight w:val="none"/>
          <w:lang w:val="en-US" w:eastAsia="zh-CN" w:bidi="ar-SA"/>
        </w:rPr>
        <w:drawing>
          <wp:inline distT="0" distB="0" distL="114300" distR="114300">
            <wp:extent cx="5256530" cy="2988310"/>
            <wp:effectExtent l="5080" t="4445" r="15240" b="1714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jc w:val="center"/>
        <w:rPr>
          <w:rFonts w:hint="eastAsia" w:ascii="楷体" w:hAnsi="楷体" w:eastAsia="楷体" w:cs="楷体"/>
          <w:b w:val="0"/>
          <w:bCs w:val="0"/>
          <w:color w:val="auto"/>
          <w:kern w:val="0"/>
          <w:sz w:val="21"/>
          <w:szCs w:val="21"/>
          <w:highlight w:val="none"/>
          <w:lang w:val="en-US" w:eastAsia="zh-CN" w:bidi="ar-SA"/>
        </w:rPr>
      </w:pPr>
      <w:r>
        <w:rPr>
          <w:rFonts w:hint="eastAsia" w:ascii="楷体" w:hAnsi="楷体" w:eastAsia="楷体" w:cs="楷体"/>
          <w:b w:val="0"/>
          <w:bCs w:val="0"/>
          <w:color w:val="auto"/>
          <w:kern w:val="0"/>
          <w:sz w:val="21"/>
          <w:szCs w:val="21"/>
          <w:highlight w:val="none"/>
          <w:lang w:val="en-US" w:eastAsia="zh-CN" w:bidi="ar-SA"/>
        </w:rPr>
        <w:t>图3：</w:t>
      </w:r>
      <w:r>
        <w:rPr>
          <w:rFonts w:hint="eastAsia" w:ascii="楷体" w:hAnsi="楷体" w:eastAsia="楷体" w:cs="楷体"/>
          <w:b w:val="0"/>
          <w:bCs w:val="0"/>
          <w:color w:val="auto"/>
          <w:kern w:val="0"/>
          <w:sz w:val="21"/>
          <w:szCs w:val="21"/>
          <w:highlight w:val="none"/>
          <w:lang w:val="en-US" w:bidi="ar-SA"/>
        </w:rPr>
        <w:t>202</w:t>
      </w:r>
      <w:r>
        <w:rPr>
          <w:rFonts w:hint="eastAsia" w:ascii="楷体" w:hAnsi="楷体" w:eastAsia="楷体" w:cs="楷体"/>
          <w:b w:val="0"/>
          <w:bCs w:val="0"/>
          <w:color w:val="auto"/>
          <w:kern w:val="0"/>
          <w:sz w:val="21"/>
          <w:szCs w:val="21"/>
          <w:highlight w:val="none"/>
          <w:lang w:val="en-US" w:eastAsia="zh-CN" w:bidi="ar-SA"/>
        </w:rPr>
        <w:t>5</w:t>
      </w:r>
      <w:r>
        <w:rPr>
          <w:rFonts w:hint="eastAsia" w:ascii="楷体" w:hAnsi="楷体" w:eastAsia="楷体" w:cs="楷体"/>
          <w:b w:val="0"/>
          <w:bCs w:val="0"/>
          <w:color w:val="auto"/>
          <w:kern w:val="0"/>
          <w:sz w:val="21"/>
          <w:szCs w:val="21"/>
          <w:highlight w:val="none"/>
          <w:lang w:val="en-US" w:bidi="ar-SA"/>
        </w:rPr>
        <w:t>年涉气案件</w:t>
      </w:r>
      <w:r>
        <w:rPr>
          <w:rFonts w:hint="eastAsia" w:ascii="楷体" w:hAnsi="楷体" w:eastAsia="楷体" w:cs="楷体"/>
          <w:b w:val="0"/>
          <w:bCs w:val="0"/>
          <w:color w:val="auto"/>
          <w:kern w:val="0"/>
          <w:sz w:val="21"/>
          <w:szCs w:val="21"/>
          <w:highlight w:val="none"/>
          <w:lang w:val="en-US" w:eastAsia="zh-CN" w:bidi="ar-SA"/>
        </w:rPr>
        <w:t>类别</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楷体" w:hAnsi="楷体" w:eastAsia="楷体" w:cs="楷体"/>
          <w:b/>
          <w:bCs/>
          <w:color w:val="000000"/>
          <w:kern w:val="0"/>
          <w:sz w:val="32"/>
          <w:szCs w:val="32"/>
          <w:lang w:val="en-US" w:eastAsia="zh-CN" w:bidi="ar-SA"/>
        </w:rPr>
      </w:pPr>
      <w:r>
        <w:rPr>
          <w:rFonts w:hint="eastAsia" w:ascii="楷体" w:hAnsi="楷体" w:eastAsia="楷体" w:cs="楷体"/>
          <w:b/>
          <w:bCs/>
          <w:color w:val="000000"/>
          <w:kern w:val="0"/>
          <w:sz w:val="32"/>
          <w:szCs w:val="32"/>
          <w:lang w:val="en-US" w:eastAsia="zh-CN" w:bidi="ar-SA"/>
        </w:rPr>
        <w:t>（三）查处的</w:t>
      </w:r>
      <w:bookmarkStart w:id="2" w:name="OLE_LINK17"/>
      <w:r>
        <w:rPr>
          <w:rFonts w:hint="eastAsia" w:ascii="楷体" w:hAnsi="楷体" w:eastAsia="楷体" w:cs="楷体"/>
          <w:b/>
          <w:bCs/>
          <w:color w:val="000000"/>
          <w:kern w:val="0"/>
          <w:sz w:val="32"/>
          <w:szCs w:val="32"/>
          <w:lang w:val="en-US" w:eastAsia="zh-CN" w:bidi="ar-SA"/>
        </w:rPr>
        <w:t>违法行为案件种类</w:t>
      </w:r>
      <w:bookmarkEnd w:id="2"/>
      <w:r>
        <w:rPr>
          <w:rFonts w:hint="eastAsia" w:ascii="楷体" w:hAnsi="楷体" w:eastAsia="楷体" w:cs="楷体"/>
          <w:b/>
          <w:bCs/>
          <w:color w:val="000000"/>
          <w:kern w:val="0"/>
          <w:sz w:val="32"/>
          <w:szCs w:val="32"/>
          <w:lang w:val="en-US" w:eastAsia="zh-CN" w:bidi="ar-SA"/>
        </w:rPr>
        <w:t>情况</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b w:val="0"/>
          <w:bCs w:val="0"/>
          <w:color w:val="auto"/>
          <w:kern w:val="0"/>
          <w:sz w:val="32"/>
          <w:szCs w:val="32"/>
          <w:highlight w:val="yellow"/>
          <w:lang w:val="en-US" w:eastAsia="zh-CN" w:bidi="ar-SA"/>
        </w:rPr>
      </w:pPr>
      <w:r>
        <w:rPr>
          <w:rFonts w:hint="eastAsia" w:ascii="仿宋" w:hAnsi="仿宋" w:eastAsia="仿宋" w:cs="宋体"/>
          <w:b w:val="0"/>
          <w:bCs w:val="0"/>
          <w:color w:val="000000"/>
          <w:kern w:val="0"/>
          <w:sz w:val="32"/>
          <w:szCs w:val="32"/>
          <w:highlight w:val="yellow"/>
          <w:lang w:val="en-US" w:eastAsia="zh-CN" w:bidi="ar-SA"/>
        </w:rPr>
        <w:t>2025年191件罚款案件中，</w:t>
      </w:r>
      <w:r>
        <w:rPr>
          <w:rFonts w:hint="eastAsia" w:ascii="仿宋" w:hAnsi="仿宋" w:eastAsia="仿宋" w:cs="宋体"/>
          <w:b w:val="0"/>
          <w:bCs w:val="0"/>
          <w:color w:val="auto"/>
          <w:kern w:val="0"/>
          <w:sz w:val="32"/>
          <w:szCs w:val="32"/>
          <w:highlight w:val="yellow"/>
          <w:lang w:val="en-US" w:eastAsia="zh-CN" w:bidi="ar-SA"/>
        </w:rPr>
        <w:t>其中使用</w:t>
      </w:r>
      <w:r>
        <w:rPr>
          <w:rFonts w:hint="default" w:ascii="仿宋" w:hAnsi="仿宋" w:eastAsia="仿宋" w:cs="宋体"/>
          <w:b w:val="0"/>
          <w:bCs w:val="0"/>
          <w:color w:val="auto"/>
          <w:kern w:val="0"/>
          <w:sz w:val="32"/>
          <w:szCs w:val="32"/>
          <w:highlight w:val="yellow"/>
          <w:lang w:val="en-US" w:eastAsia="zh-CN" w:bidi="ar-SA"/>
        </w:rPr>
        <w:t>最多的</w:t>
      </w:r>
      <w:r>
        <w:rPr>
          <w:rFonts w:hint="eastAsia" w:ascii="仿宋" w:hAnsi="仿宋" w:eastAsia="仿宋" w:cs="宋体"/>
          <w:b w:val="0"/>
          <w:bCs w:val="0"/>
          <w:color w:val="auto"/>
          <w:kern w:val="0"/>
          <w:sz w:val="32"/>
          <w:szCs w:val="32"/>
          <w:highlight w:val="yellow"/>
          <w:lang w:val="en-US" w:eastAsia="zh-CN" w:bidi="ar-SA"/>
        </w:rPr>
        <w:t>案由为未按照应急预案落实限产、停产措施案</w:t>
      </w:r>
      <w:r>
        <w:rPr>
          <w:rFonts w:hint="default" w:ascii="仿宋" w:hAnsi="仿宋" w:eastAsia="仿宋" w:cs="宋体"/>
          <w:b w:val="0"/>
          <w:bCs w:val="0"/>
          <w:color w:val="auto"/>
          <w:kern w:val="0"/>
          <w:sz w:val="32"/>
          <w:szCs w:val="32"/>
          <w:highlight w:val="yellow"/>
          <w:lang w:val="en-US" w:eastAsia="zh-CN" w:bidi="ar-SA"/>
        </w:rPr>
        <w:t>在</w:t>
      </w:r>
      <w:r>
        <w:rPr>
          <w:rFonts w:hint="eastAsia" w:ascii="仿宋" w:hAnsi="仿宋" w:eastAsia="仿宋" w:cs="宋体"/>
          <w:b w:val="0"/>
          <w:bCs w:val="0"/>
          <w:color w:val="auto"/>
          <w:kern w:val="0"/>
          <w:sz w:val="32"/>
          <w:szCs w:val="32"/>
          <w:highlight w:val="yellow"/>
          <w:lang w:val="en-US" w:eastAsia="zh-CN" w:bidi="ar-SA"/>
        </w:rPr>
        <w:t>2025年</w:t>
      </w:r>
      <w:r>
        <w:rPr>
          <w:rFonts w:hint="default" w:ascii="仿宋" w:hAnsi="仿宋" w:eastAsia="仿宋" w:cs="宋体"/>
          <w:b w:val="0"/>
          <w:bCs w:val="0"/>
          <w:color w:val="auto"/>
          <w:kern w:val="0"/>
          <w:sz w:val="32"/>
          <w:szCs w:val="32"/>
          <w:highlight w:val="yellow"/>
          <w:lang w:val="en-US" w:eastAsia="zh-CN" w:bidi="ar-SA"/>
        </w:rPr>
        <w:t>的</w:t>
      </w:r>
      <w:r>
        <w:rPr>
          <w:rFonts w:hint="eastAsia" w:ascii="仿宋" w:hAnsi="仿宋" w:eastAsia="仿宋" w:cs="宋体"/>
          <w:b w:val="0"/>
          <w:bCs w:val="0"/>
          <w:color w:val="auto"/>
          <w:kern w:val="0"/>
          <w:sz w:val="32"/>
          <w:szCs w:val="32"/>
          <w:highlight w:val="yellow"/>
          <w:lang w:val="en-US" w:eastAsia="zh-CN" w:bidi="ar-SA"/>
        </w:rPr>
        <w:t>191</w:t>
      </w:r>
      <w:r>
        <w:rPr>
          <w:rFonts w:hint="default" w:ascii="仿宋" w:hAnsi="仿宋" w:eastAsia="仿宋" w:cs="宋体"/>
          <w:b w:val="0"/>
          <w:bCs w:val="0"/>
          <w:color w:val="auto"/>
          <w:kern w:val="0"/>
          <w:sz w:val="32"/>
          <w:szCs w:val="32"/>
          <w:highlight w:val="yellow"/>
          <w:lang w:val="en-US" w:eastAsia="zh-CN" w:bidi="ar-SA"/>
        </w:rPr>
        <w:t>个处罚记录中，共有</w:t>
      </w:r>
      <w:r>
        <w:rPr>
          <w:rFonts w:hint="eastAsia" w:ascii="仿宋" w:hAnsi="仿宋" w:eastAsia="仿宋" w:cs="宋体"/>
          <w:b w:val="0"/>
          <w:bCs w:val="0"/>
          <w:color w:val="auto"/>
          <w:kern w:val="0"/>
          <w:sz w:val="32"/>
          <w:szCs w:val="32"/>
          <w:highlight w:val="yellow"/>
          <w:lang w:val="en-US" w:eastAsia="zh-CN" w:bidi="ar-SA"/>
        </w:rPr>
        <w:t>71</w:t>
      </w:r>
      <w:r>
        <w:rPr>
          <w:rFonts w:hint="default" w:ascii="仿宋" w:hAnsi="仿宋" w:eastAsia="仿宋" w:cs="宋体"/>
          <w:b w:val="0"/>
          <w:bCs w:val="0"/>
          <w:color w:val="auto"/>
          <w:kern w:val="0"/>
          <w:sz w:val="32"/>
          <w:szCs w:val="32"/>
          <w:highlight w:val="yellow"/>
          <w:lang w:val="en-US" w:eastAsia="zh-CN" w:bidi="ar-SA"/>
        </w:rPr>
        <w:t>个处罚涉及该类型，占比</w:t>
      </w:r>
      <w:r>
        <w:rPr>
          <w:rFonts w:hint="eastAsia" w:ascii="仿宋" w:hAnsi="仿宋" w:eastAsia="仿宋" w:cs="宋体"/>
          <w:b w:val="0"/>
          <w:bCs w:val="0"/>
          <w:color w:val="auto"/>
          <w:kern w:val="0"/>
          <w:sz w:val="32"/>
          <w:szCs w:val="32"/>
          <w:highlight w:val="yellow"/>
          <w:lang w:val="en-US" w:eastAsia="zh-CN" w:bidi="ar-SA"/>
        </w:rPr>
        <w:t>37.2%；</w:t>
      </w:r>
      <w:r>
        <w:rPr>
          <w:rFonts w:hint="eastAsia" w:ascii="仿宋" w:hAnsi="仿宋" w:eastAsia="仿宋" w:cs="宋体"/>
          <w:b w:val="0"/>
          <w:bCs w:val="0"/>
          <w:color w:val="auto"/>
          <w:kern w:val="0"/>
          <w:sz w:val="32"/>
          <w:szCs w:val="32"/>
          <w:highlight w:val="yellow"/>
          <w:lang w:val="en-US" w:bidi="ar-SA"/>
        </w:rPr>
        <w:t>排名第二的为</w:t>
      </w:r>
      <w:r>
        <w:rPr>
          <w:rFonts w:hint="eastAsia" w:ascii="仿宋" w:hAnsi="仿宋" w:eastAsia="仿宋" w:cs="宋体"/>
          <w:b w:val="0"/>
          <w:bCs w:val="0"/>
          <w:color w:val="auto"/>
          <w:kern w:val="0"/>
          <w:sz w:val="32"/>
          <w:szCs w:val="32"/>
          <w:highlight w:val="yellow"/>
          <w:lang w:val="en-US" w:eastAsia="zh-CN" w:bidi="ar-SA"/>
        </w:rPr>
        <w:t>产生含挥发性有机物废气的生产和服务活动，未按照规定安装、使用污染防治设施案，有16</w:t>
      </w:r>
      <w:r>
        <w:rPr>
          <w:rFonts w:hint="eastAsia" w:ascii="仿宋" w:hAnsi="仿宋" w:eastAsia="仿宋" w:cs="宋体"/>
          <w:b w:val="0"/>
          <w:bCs w:val="0"/>
          <w:color w:val="auto"/>
          <w:kern w:val="0"/>
          <w:sz w:val="32"/>
          <w:szCs w:val="32"/>
          <w:highlight w:val="yellow"/>
          <w:lang w:val="en-US" w:bidi="ar-SA"/>
        </w:rPr>
        <w:t>个处罚涉及该类型，占比</w:t>
      </w:r>
      <w:r>
        <w:rPr>
          <w:rFonts w:hint="eastAsia" w:ascii="仿宋" w:hAnsi="仿宋" w:eastAsia="仿宋" w:cs="宋体"/>
          <w:b w:val="0"/>
          <w:bCs w:val="0"/>
          <w:color w:val="auto"/>
          <w:kern w:val="0"/>
          <w:sz w:val="32"/>
          <w:szCs w:val="32"/>
          <w:highlight w:val="yellow"/>
          <w:lang w:val="en-US" w:eastAsia="zh-CN" w:bidi="ar-SA"/>
        </w:rPr>
        <w:t>8.4</w:t>
      </w:r>
      <w:r>
        <w:rPr>
          <w:rFonts w:hint="default" w:ascii="仿宋" w:hAnsi="仿宋" w:eastAsia="仿宋" w:cs="宋体"/>
          <w:b w:val="0"/>
          <w:bCs w:val="0"/>
          <w:color w:val="auto"/>
          <w:kern w:val="0"/>
          <w:sz w:val="32"/>
          <w:szCs w:val="32"/>
          <w:highlight w:val="yellow"/>
          <w:lang w:bidi="ar-SA"/>
        </w:rPr>
        <w:t>%</w:t>
      </w:r>
      <w:r>
        <w:rPr>
          <w:rFonts w:hint="eastAsia" w:ascii="仿宋" w:hAnsi="仿宋" w:eastAsia="仿宋" w:cs="宋体"/>
          <w:b w:val="0"/>
          <w:bCs w:val="0"/>
          <w:color w:val="auto"/>
          <w:kern w:val="0"/>
          <w:sz w:val="32"/>
          <w:szCs w:val="32"/>
          <w:highlight w:val="yellow"/>
          <w:lang w:eastAsia="zh-CN" w:bidi="ar-SA"/>
        </w:rPr>
        <w:t>；</w:t>
      </w:r>
      <w:r>
        <w:rPr>
          <w:rFonts w:hint="eastAsia" w:ascii="仿宋" w:hAnsi="仿宋" w:eastAsia="仿宋" w:cs="宋体"/>
          <w:b w:val="0"/>
          <w:bCs w:val="0"/>
          <w:color w:val="auto"/>
          <w:kern w:val="0"/>
          <w:sz w:val="32"/>
          <w:szCs w:val="32"/>
          <w:highlight w:val="yellow"/>
          <w:lang w:val="en-US" w:eastAsia="zh-CN" w:bidi="ar-SA"/>
        </w:rPr>
        <w:t>排名第三的为特殊时段未按照排污许可证规定停止或者限制排放污染物案，有16</w:t>
      </w:r>
      <w:r>
        <w:rPr>
          <w:rFonts w:hint="eastAsia" w:ascii="仿宋" w:hAnsi="仿宋" w:eastAsia="仿宋" w:cs="宋体"/>
          <w:b w:val="0"/>
          <w:bCs w:val="0"/>
          <w:color w:val="auto"/>
          <w:kern w:val="0"/>
          <w:sz w:val="32"/>
          <w:szCs w:val="32"/>
          <w:highlight w:val="yellow"/>
          <w:lang w:val="en-US" w:bidi="ar-SA"/>
        </w:rPr>
        <w:t>个处罚涉及该类型</w:t>
      </w:r>
      <w:r>
        <w:rPr>
          <w:rFonts w:hint="eastAsia" w:ascii="仿宋" w:hAnsi="仿宋" w:eastAsia="仿宋" w:cs="宋体"/>
          <w:b w:val="0"/>
          <w:bCs w:val="0"/>
          <w:color w:val="auto"/>
          <w:kern w:val="0"/>
          <w:sz w:val="32"/>
          <w:szCs w:val="32"/>
          <w:highlight w:val="yellow"/>
          <w:lang w:val="en-US" w:eastAsia="zh-CN" w:bidi="ar-SA"/>
        </w:rPr>
        <w:t>，</w:t>
      </w:r>
      <w:r>
        <w:rPr>
          <w:rFonts w:hint="eastAsia" w:ascii="仿宋" w:hAnsi="仿宋" w:eastAsia="仿宋" w:cs="宋体"/>
          <w:b w:val="0"/>
          <w:bCs w:val="0"/>
          <w:color w:val="auto"/>
          <w:kern w:val="0"/>
          <w:sz w:val="32"/>
          <w:szCs w:val="32"/>
          <w:highlight w:val="yellow"/>
          <w:lang w:val="en-US" w:bidi="ar-SA"/>
        </w:rPr>
        <w:t>占比</w:t>
      </w:r>
      <w:r>
        <w:rPr>
          <w:rFonts w:hint="eastAsia" w:ascii="仿宋" w:hAnsi="仿宋" w:eastAsia="仿宋" w:cs="宋体"/>
          <w:b w:val="0"/>
          <w:bCs w:val="0"/>
          <w:color w:val="auto"/>
          <w:kern w:val="0"/>
          <w:sz w:val="32"/>
          <w:szCs w:val="32"/>
          <w:highlight w:val="yellow"/>
          <w:lang w:val="en-US" w:eastAsia="zh-CN" w:bidi="ar-SA"/>
        </w:rPr>
        <w:t>8.4</w:t>
      </w:r>
      <w:r>
        <w:rPr>
          <w:rFonts w:hint="default" w:ascii="仿宋" w:hAnsi="仿宋" w:eastAsia="仿宋" w:cs="宋体"/>
          <w:b w:val="0"/>
          <w:bCs w:val="0"/>
          <w:color w:val="auto"/>
          <w:kern w:val="0"/>
          <w:sz w:val="32"/>
          <w:szCs w:val="32"/>
          <w:highlight w:val="yellow"/>
          <w:lang w:bidi="ar-SA"/>
        </w:rPr>
        <w:t>%</w:t>
      </w:r>
      <w:r>
        <w:rPr>
          <w:rFonts w:hint="eastAsia" w:ascii="仿宋" w:hAnsi="仿宋" w:eastAsia="仿宋" w:cs="宋体"/>
          <w:b w:val="0"/>
          <w:bCs w:val="0"/>
          <w:color w:val="auto"/>
          <w:kern w:val="0"/>
          <w:sz w:val="32"/>
          <w:szCs w:val="32"/>
          <w:highlight w:val="yellow"/>
          <w:lang w:eastAsia="zh-CN" w:bidi="ar-SA"/>
        </w:rPr>
        <w:t>。</w:t>
      </w:r>
    </w:p>
    <w:p>
      <w:pPr>
        <w:jc w:val="both"/>
        <w:rPr>
          <w:rFonts w:hint="eastAsia" w:ascii="楷体" w:hAnsi="楷体" w:eastAsia="楷体" w:cs="楷体"/>
          <w:b w:val="0"/>
          <w:bCs w:val="0"/>
          <w:color w:val="auto"/>
          <w:kern w:val="0"/>
          <w:sz w:val="21"/>
          <w:szCs w:val="21"/>
          <w:highlight w:val="none"/>
          <w:lang w:val="en-US" w:eastAsia="zh-CN" w:bidi="ar-SA"/>
        </w:rPr>
      </w:pPr>
      <w:bookmarkStart w:id="3" w:name="OLE_LINK4"/>
    </w:p>
    <w:p>
      <w:pPr>
        <w:jc w:val="center"/>
        <w:rPr>
          <w:rFonts w:hint="eastAsia" w:ascii="楷体" w:hAnsi="楷体" w:eastAsia="楷体" w:cs="楷体"/>
          <w:b w:val="0"/>
          <w:bCs w:val="0"/>
          <w:color w:val="auto"/>
          <w:kern w:val="0"/>
          <w:sz w:val="21"/>
          <w:szCs w:val="21"/>
          <w:highlight w:val="none"/>
          <w:lang w:val="en-US" w:eastAsia="zh-CN" w:bidi="ar-SA"/>
        </w:rPr>
      </w:pPr>
      <w:r>
        <w:rPr>
          <w:rFonts w:hint="eastAsia" w:ascii="楷体" w:hAnsi="楷体" w:eastAsia="楷体" w:cs="楷体"/>
          <w:b w:val="0"/>
          <w:bCs w:val="0"/>
          <w:color w:val="auto"/>
          <w:kern w:val="0"/>
          <w:sz w:val="21"/>
          <w:szCs w:val="21"/>
          <w:highlight w:val="none"/>
          <w:lang w:val="en-US" w:eastAsia="zh-CN" w:bidi="ar-SA"/>
        </w:rPr>
        <w:drawing>
          <wp:inline distT="0" distB="0" distL="114300" distR="114300">
            <wp:extent cx="5256530" cy="6200775"/>
            <wp:effectExtent l="4445" t="4445" r="15875" b="508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jc w:val="center"/>
        <w:rPr>
          <w:rFonts w:hint="eastAsia" w:ascii="楷体" w:hAnsi="楷体" w:eastAsia="楷体" w:cs="楷体"/>
          <w:b/>
          <w:bCs/>
          <w:color w:val="auto"/>
          <w:kern w:val="0"/>
          <w:sz w:val="32"/>
          <w:szCs w:val="32"/>
          <w:lang w:val="en-US" w:eastAsia="zh-CN" w:bidi="ar-SA"/>
        </w:rPr>
      </w:pPr>
      <w:r>
        <w:rPr>
          <w:rFonts w:hint="eastAsia" w:ascii="楷体" w:hAnsi="楷体" w:eastAsia="楷体" w:cs="楷体"/>
          <w:b w:val="0"/>
          <w:bCs w:val="0"/>
          <w:color w:val="auto"/>
          <w:kern w:val="0"/>
          <w:sz w:val="21"/>
          <w:szCs w:val="21"/>
          <w:highlight w:val="none"/>
          <w:lang w:val="en-US" w:eastAsia="zh-CN" w:bidi="ar-SA"/>
        </w:rPr>
        <w:t>图4：2025年违法行为案由占比情况</w:t>
      </w:r>
      <w:bookmarkEnd w:id="3"/>
    </w:p>
    <w:p>
      <w:pPr>
        <w:ind w:firstLine="642" w:firstLineChars="200"/>
        <w:jc w:val="both"/>
        <w:rPr>
          <w:rFonts w:hint="eastAsia" w:ascii="楷体" w:hAnsi="楷体" w:eastAsia="楷体" w:cs="楷体"/>
          <w:b/>
          <w:bCs/>
          <w:color w:val="auto"/>
          <w:kern w:val="0"/>
          <w:sz w:val="32"/>
          <w:szCs w:val="32"/>
          <w:lang w:val="en-US" w:eastAsia="zh-CN" w:bidi="ar-SA"/>
        </w:rPr>
      </w:pPr>
    </w:p>
    <w:p>
      <w:pPr>
        <w:ind w:firstLine="642" w:firstLineChars="200"/>
        <w:jc w:val="both"/>
        <w:rPr>
          <w:rFonts w:hint="default" w:ascii="楷体" w:hAnsi="楷体" w:eastAsia="楷体" w:cs="楷体"/>
          <w:b/>
          <w:bCs/>
          <w:color w:val="auto"/>
          <w:kern w:val="0"/>
          <w:sz w:val="32"/>
          <w:szCs w:val="32"/>
          <w:lang w:val="en-US" w:eastAsia="zh-CN" w:bidi="ar-SA"/>
        </w:rPr>
      </w:pPr>
      <w:r>
        <w:rPr>
          <w:rFonts w:hint="eastAsia" w:ascii="楷体" w:hAnsi="楷体" w:eastAsia="楷体" w:cs="楷体"/>
          <w:b/>
          <w:bCs/>
          <w:color w:val="auto"/>
          <w:kern w:val="0"/>
          <w:sz w:val="32"/>
          <w:szCs w:val="32"/>
          <w:lang w:val="en-US" w:eastAsia="zh-CN" w:bidi="ar-SA"/>
        </w:rPr>
        <w:t>（四）县（市、区）分局生态环境行政处罚情况</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宋体"/>
          <w:b w:val="0"/>
          <w:bCs w:val="0"/>
          <w:color w:val="auto"/>
          <w:kern w:val="0"/>
          <w:sz w:val="32"/>
          <w:szCs w:val="32"/>
          <w:highlight w:val="yellow"/>
          <w:lang w:val="en-US" w:eastAsia="zh-CN" w:bidi="ar-SA"/>
        </w:rPr>
      </w:pPr>
      <w:r>
        <w:rPr>
          <w:rFonts w:hint="default" w:ascii="仿宋" w:hAnsi="仿宋" w:eastAsia="仿宋" w:cs="宋体"/>
          <w:b w:val="0"/>
          <w:bCs w:val="0"/>
          <w:color w:val="auto"/>
          <w:kern w:val="0"/>
          <w:sz w:val="32"/>
          <w:szCs w:val="32"/>
          <w:highlight w:val="yellow"/>
          <w:lang w:val="en-US" w:eastAsia="zh-CN" w:bidi="ar-SA"/>
        </w:rPr>
        <w:t>综合</w:t>
      </w:r>
      <w:r>
        <w:rPr>
          <w:rFonts w:hint="eastAsia" w:ascii="仿宋" w:hAnsi="仿宋" w:eastAsia="仿宋" w:cs="宋体"/>
          <w:b w:val="0"/>
          <w:bCs w:val="0"/>
          <w:color w:val="auto"/>
          <w:kern w:val="0"/>
          <w:sz w:val="32"/>
          <w:szCs w:val="32"/>
          <w:highlight w:val="yellow"/>
          <w:lang w:val="en-US" w:eastAsia="zh-CN" w:bidi="ar-SA"/>
        </w:rPr>
        <w:t>2025年</w:t>
      </w:r>
      <w:r>
        <w:rPr>
          <w:rFonts w:hint="default" w:ascii="仿宋" w:hAnsi="仿宋" w:eastAsia="仿宋" w:cs="宋体"/>
          <w:b w:val="0"/>
          <w:bCs w:val="0"/>
          <w:color w:val="auto"/>
          <w:kern w:val="0"/>
          <w:sz w:val="32"/>
          <w:szCs w:val="32"/>
          <w:highlight w:val="yellow"/>
          <w:lang w:val="en-US" w:eastAsia="zh-CN" w:bidi="ar-SA"/>
        </w:rPr>
        <w:t>处罚</w:t>
      </w:r>
      <w:r>
        <w:rPr>
          <w:rFonts w:hint="eastAsia" w:ascii="仿宋" w:hAnsi="仿宋" w:eastAsia="仿宋" w:cs="宋体"/>
          <w:b w:val="0"/>
          <w:bCs w:val="0"/>
          <w:color w:val="auto"/>
          <w:kern w:val="0"/>
          <w:sz w:val="32"/>
          <w:szCs w:val="32"/>
          <w:highlight w:val="yellow"/>
          <w:lang w:val="en-US" w:eastAsia="zh-CN" w:bidi="ar-SA"/>
        </w:rPr>
        <w:t>数量</w:t>
      </w:r>
      <w:r>
        <w:rPr>
          <w:rFonts w:hint="default" w:ascii="仿宋" w:hAnsi="仿宋" w:eastAsia="仿宋" w:cs="宋体"/>
          <w:b w:val="0"/>
          <w:bCs w:val="0"/>
          <w:color w:val="auto"/>
          <w:kern w:val="0"/>
          <w:sz w:val="32"/>
          <w:szCs w:val="32"/>
          <w:highlight w:val="yellow"/>
          <w:lang w:val="en-US" w:eastAsia="zh-CN" w:bidi="ar-SA"/>
        </w:rPr>
        <w:t>情况来看，</w:t>
      </w:r>
      <w:r>
        <w:rPr>
          <w:rFonts w:hint="eastAsia" w:ascii="仿宋" w:hAnsi="仿宋" w:eastAsia="仿宋" w:cs="宋体"/>
          <w:b w:val="0"/>
          <w:bCs w:val="0"/>
          <w:color w:val="auto"/>
          <w:kern w:val="0"/>
          <w:sz w:val="32"/>
          <w:szCs w:val="32"/>
          <w:highlight w:val="yellow"/>
          <w:lang w:val="en-US" w:eastAsia="zh-CN" w:bidi="ar-SA"/>
        </w:rPr>
        <w:t>涿州市分局、博野县分局、市局综合执法支队、涞水县分局、唐县分局为全市处罚案件数量较高的分局，五个分局累计处罚90件，占全市处罚总数的57.1%。</w:t>
      </w:r>
    </w:p>
    <w:p>
      <w:pPr>
        <w:keepNext w:val="0"/>
        <w:keepLines w:val="0"/>
        <w:pageBreakBefore w:val="0"/>
        <w:numPr>
          <w:ilvl w:val="0"/>
          <w:numId w:val="0"/>
        </w:numPr>
        <w:kinsoku/>
        <w:wordWrap/>
        <w:overflowPunct/>
        <w:topLinePunct w:val="0"/>
        <w:autoSpaceDE/>
        <w:autoSpaceDN/>
        <w:bidi w:val="0"/>
        <w:adjustRightInd/>
        <w:snapToGrid/>
        <w:spacing w:line="560" w:lineRule="exact"/>
        <w:jc w:val="center"/>
        <w:textAlignment w:val="auto"/>
        <w:rPr>
          <w:rFonts w:hint="eastAsia" w:ascii="仿宋" w:hAnsi="仿宋" w:eastAsia="仿宋" w:cs="宋体"/>
          <w:b w:val="0"/>
          <w:bCs w:val="0"/>
          <w:color w:val="auto"/>
          <w:kern w:val="0"/>
          <w:sz w:val="32"/>
          <w:szCs w:val="32"/>
          <w:highlight w:val="none"/>
          <w:lang w:val="en-US" w:eastAsia="zh-CN" w:bidi="ar-SA"/>
        </w:rPr>
      </w:pPr>
      <w:r>
        <w:rPr>
          <w:rFonts w:hint="eastAsia" w:ascii="楷体" w:hAnsi="楷体" w:eastAsia="楷体" w:cs="楷体"/>
          <w:b w:val="0"/>
          <w:bCs w:val="0"/>
          <w:color w:val="auto"/>
          <w:kern w:val="0"/>
          <w:sz w:val="21"/>
          <w:szCs w:val="21"/>
          <w:highlight w:val="none"/>
          <w:lang w:val="en-US" w:eastAsia="zh-CN" w:bidi="ar-SA"/>
        </w:rPr>
        <w:t>图5：</w:t>
      </w:r>
      <w:r>
        <w:rPr>
          <w:rFonts w:hint="eastAsia" w:ascii="楷体" w:hAnsi="楷体" w:eastAsia="楷体" w:cs="楷体"/>
          <w:b w:val="0"/>
          <w:bCs w:val="0"/>
          <w:color w:val="auto"/>
          <w:kern w:val="0"/>
          <w:sz w:val="21"/>
          <w:szCs w:val="21"/>
          <w:highlight w:val="none"/>
          <w:lang w:val="en-US" w:bidi="ar-SA"/>
        </w:rPr>
        <w:t>202</w:t>
      </w:r>
      <w:r>
        <w:rPr>
          <w:rFonts w:hint="eastAsia" w:ascii="楷体" w:hAnsi="楷体" w:eastAsia="楷体" w:cs="楷体"/>
          <w:b w:val="0"/>
          <w:bCs w:val="0"/>
          <w:color w:val="auto"/>
          <w:kern w:val="0"/>
          <w:sz w:val="21"/>
          <w:szCs w:val="21"/>
          <w:highlight w:val="none"/>
          <w:lang w:val="en-US" w:eastAsia="zh-CN" w:bidi="ar-SA"/>
        </w:rPr>
        <w:t>5</w:t>
      </w:r>
      <w:r>
        <w:rPr>
          <w:rFonts w:hint="eastAsia" w:ascii="楷体" w:hAnsi="楷体" w:eastAsia="楷体" w:cs="楷体"/>
          <w:b w:val="0"/>
          <w:bCs w:val="0"/>
          <w:color w:val="auto"/>
          <w:kern w:val="0"/>
          <w:sz w:val="21"/>
          <w:szCs w:val="21"/>
          <w:highlight w:val="none"/>
          <w:lang w:val="en-US" w:bidi="ar-SA"/>
        </w:rPr>
        <w:t>年</w:t>
      </w:r>
      <w:r>
        <w:rPr>
          <w:rFonts w:hint="eastAsia" w:ascii="楷体" w:hAnsi="楷体" w:eastAsia="楷体" w:cs="楷体"/>
          <w:b w:val="0"/>
          <w:bCs w:val="0"/>
          <w:color w:val="auto"/>
          <w:kern w:val="0"/>
          <w:sz w:val="21"/>
          <w:szCs w:val="21"/>
          <w:highlight w:val="none"/>
          <w:lang w:val="en-US" w:eastAsia="zh-CN" w:bidi="ar-SA"/>
        </w:rPr>
        <w:t>各分局</w:t>
      </w:r>
      <w:r>
        <w:rPr>
          <w:rFonts w:hint="eastAsia" w:ascii="楷体" w:hAnsi="楷体" w:eastAsia="楷体" w:cs="楷体"/>
          <w:b w:val="0"/>
          <w:bCs w:val="0"/>
          <w:color w:val="auto"/>
          <w:kern w:val="0"/>
          <w:sz w:val="21"/>
          <w:szCs w:val="21"/>
          <w:highlight w:val="none"/>
          <w:lang w:val="en-US" w:bidi="ar-SA"/>
        </w:rPr>
        <w:t>办案数量排序</w:t>
      </w:r>
      <w:r>
        <w:rPr>
          <w:rFonts w:hint="eastAsia" w:ascii="楷体" w:hAnsi="楷体" w:eastAsia="楷体" w:cs="楷体"/>
          <w:b w:val="0"/>
          <w:bCs w:val="0"/>
          <w:color w:val="auto"/>
          <w:kern w:val="0"/>
          <w:sz w:val="21"/>
          <w:szCs w:val="21"/>
          <w:highlight w:val="none"/>
          <w:lang w:val="en-US" w:eastAsia="zh-CN" w:bidi="ar-SA"/>
        </w:rPr>
        <w:t>情况</w:t>
      </w:r>
      <w:r>
        <w:rPr>
          <w:rFonts w:hint="eastAsia" w:ascii="仿宋" w:hAnsi="仿宋" w:eastAsia="仿宋" w:cs="宋体"/>
          <w:b w:val="0"/>
          <w:bCs w:val="0"/>
          <w:color w:val="auto"/>
          <w:kern w:val="0"/>
          <w:sz w:val="32"/>
          <w:szCs w:val="32"/>
          <w:highlight w:val="none"/>
          <w:lang w:val="en-US" w:eastAsia="zh-CN" w:bidi="ar-SA"/>
        </w:rPr>
        <w:drawing>
          <wp:anchor distT="0" distB="0" distL="114300" distR="114300" simplePos="0" relativeHeight="251659264" behindDoc="0" locked="0" layoutInCell="1" allowOverlap="1">
            <wp:simplePos x="0" y="0"/>
            <wp:positionH relativeFrom="column">
              <wp:posOffset>47625</wp:posOffset>
            </wp:positionH>
            <wp:positionV relativeFrom="paragraph">
              <wp:posOffset>102235</wp:posOffset>
            </wp:positionV>
            <wp:extent cx="5290820" cy="5827395"/>
            <wp:effectExtent l="4445" t="4445" r="19685" b="16510"/>
            <wp:wrapTopAndBottom/>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color w:val="auto"/>
          <w:highlight w:val="yellow"/>
          <w:lang w:val="en-US" w:eastAsia="zh-CN"/>
        </w:rPr>
      </w:pPr>
      <w:r>
        <w:rPr>
          <w:rFonts w:hint="default" w:ascii="仿宋" w:hAnsi="仿宋" w:eastAsia="仿宋" w:cs="宋体"/>
          <w:b w:val="0"/>
          <w:bCs w:val="0"/>
          <w:color w:val="auto"/>
          <w:kern w:val="0"/>
          <w:sz w:val="32"/>
          <w:szCs w:val="32"/>
          <w:highlight w:val="yellow"/>
          <w:lang w:val="en-US" w:eastAsia="zh-CN" w:bidi="ar-SA"/>
        </w:rPr>
        <w:t>综合</w:t>
      </w:r>
      <w:r>
        <w:rPr>
          <w:rFonts w:hint="eastAsia" w:ascii="仿宋" w:hAnsi="仿宋" w:eastAsia="仿宋" w:cs="宋体"/>
          <w:b w:val="0"/>
          <w:bCs w:val="0"/>
          <w:color w:val="auto"/>
          <w:kern w:val="0"/>
          <w:sz w:val="32"/>
          <w:szCs w:val="32"/>
          <w:highlight w:val="yellow"/>
          <w:lang w:val="en-US" w:eastAsia="zh-CN" w:bidi="ar-SA"/>
        </w:rPr>
        <w:t>2025年</w:t>
      </w:r>
      <w:r>
        <w:rPr>
          <w:rFonts w:hint="default" w:ascii="仿宋" w:hAnsi="仿宋" w:eastAsia="仿宋" w:cs="宋体"/>
          <w:b w:val="0"/>
          <w:bCs w:val="0"/>
          <w:color w:val="auto"/>
          <w:kern w:val="0"/>
          <w:sz w:val="32"/>
          <w:szCs w:val="32"/>
          <w:highlight w:val="yellow"/>
          <w:lang w:val="en-US" w:eastAsia="zh-CN" w:bidi="ar-SA"/>
        </w:rPr>
        <w:t>处罚</w:t>
      </w:r>
      <w:r>
        <w:rPr>
          <w:rFonts w:hint="eastAsia" w:ascii="仿宋" w:hAnsi="仿宋" w:eastAsia="仿宋" w:cs="宋体"/>
          <w:b w:val="0"/>
          <w:bCs w:val="0"/>
          <w:color w:val="auto"/>
          <w:kern w:val="0"/>
          <w:sz w:val="32"/>
          <w:szCs w:val="32"/>
          <w:highlight w:val="yellow"/>
          <w:lang w:val="en-US" w:eastAsia="zh-CN" w:bidi="ar-SA"/>
        </w:rPr>
        <w:t>金额</w:t>
      </w:r>
      <w:r>
        <w:rPr>
          <w:rFonts w:hint="default" w:ascii="仿宋" w:hAnsi="仿宋" w:eastAsia="仿宋" w:cs="宋体"/>
          <w:b w:val="0"/>
          <w:bCs w:val="0"/>
          <w:color w:val="auto"/>
          <w:kern w:val="0"/>
          <w:sz w:val="32"/>
          <w:szCs w:val="32"/>
          <w:highlight w:val="yellow"/>
          <w:lang w:val="en-US" w:eastAsia="zh-CN" w:bidi="ar-SA"/>
        </w:rPr>
        <w:t>情况来看，</w:t>
      </w:r>
      <w:r>
        <w:rPr>
          <w:rFonts w:hint="eastAsia" w:ascii="仿宋" w:hAnsi="仿宋" w:eastAsia="仿宋" w:cs="宋体"/>
          <w:b w:val="0"/>
          <w:bCs w:val="0"/>
          <w:color w:val="auto"/>
          <w:kern w:val="0"/>
          <w:sz w:val="32"/>
          <w:szCs w:val="32"/>
          <w:highlight w:val="yellow"/>
          <w:lang w:val="en-US" w:eastAsia="zh-CN" w:bidi="ar-SA"/>
        </w:rPr>
        <w:t>累计处罚金额1270万元。市局综合执法支队、博野县分局、涞源县分局、涞水县分局、顺平县分局为全市处罚案件金额较高，累计处罚金额729万元，占全市罚款总金额的57.4%。</w:t>
      </w:r>
    </w:p>
    <w:p>
      <w:pPr>
        <w:jc w:val="center"/>
        <w:rPr>
          <w:rFonts w:hint="eastAsia" w:ascii="楷体" w:hAnsi="楷体" w:eastAsia="楷体" w:cs="楷体"/>
          <w:b w:val="0"/>
          <w:bCs w:val="0"/>
          <w:color w:val="auto"/>
          <w:kern w:val="0"/>
          <w:sz w:val="21"/>
          <w:szCs w:val="21"/>
          <w:lang w:val="en-US" w:eastAsia="zh-CN" w:bidi="ar-SA"/>
        </w:rPr>
      </w:pPr>
    </w:p>
    <w:p>
      <w:pPr>
        <w:jc w:val="center"/>
        <w:rPr>
          <w:rFonts w:hint="eastAsia" w:ascii="楷体" w:hAnsi="楷体" w:eastAsia="楷体" w:cs="楷体"/>
          <w:b w:val="0"/>
          <w:bCs w:val="0"/>
          <w:color w:val="auto"/>
          <w:kern w:val="0"/>
          <w:sz w:val="21"/>
          <w:szCs w:val="21"/>
          <w:lang w:val="en-US" w:eastAsia="zh-CN" w:bidi="ar-SA"/>
        </w:rPr>
      </w:pPr>
      <w:r>
        <w:rPr>
          <w:rFonts w:hint="eastAsia" w:ascii="楷体" w:hAnsi="楷体" w:eastAsia="楷体" w:cs="楷体"/>
          <w:b w:val="0"/>
          <w:bCs w:val="0"/>
          <w:color w:val="auto"/>
          <w:kern w:val="0"/>
          <w:sz w:val="21"/>
          <w:szCs w:val="21"/>
          <w:lang w:val="en-US" w:eastAsia="zh-CN" w:bidi="ar-SA"/>
        </w:rPr>
        <w:drawing>
          <wp:inline distT="0" distB="0" distL="114300" distR="114300">
            <wp:extent cx="5256530" cy="6309995"/>
            <wp:effectExtent l="4445" t="4445" r="15875" b="1016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jc w:val="center"/>
        <w:rPr>
          <w:rFonts w:hint="eastAsia" w:ascii="楷体" w:hAnsi="楷体" w:eastAsia="楷体" w:cs="楷体"/>
          <w:b w:val="0"/>
          <w:bCs w:val="0"/>
          <w:color w:val="auto"/>
          <w:kern w:val="0"/>
          <w:sz w:val="21"/>
          <w:szCs w:val="21"/>
          <w:highlight w:val="none"/>
          <w:lang w:val="en-US" w:eastAsia="zh-CN" w:bidi="ar-SA"/>
        </w:rPr>
      </w:pPr>
      <w:r>
        <w:rPr>
          <w:rFonts w:hint="eastAsia" w:ascii="楷体" w:hAnsi="楷体" w:eastAsia="楷体" w:cs="楷体"/>
          <w:b w:val="0"/>
          <w:bCs w:val="0"/>
          <w:color w:val="auto"/>
          <w:kern w:val="0"/>
          <w:sz w:val="21"/>
          <w:szCs w:val="21"/>
          <w:highlight w:val="none"/>
          <w:lang w:val="en-US" w:eastAsia="zh-CN" w:bidi="ar-SA"/>
        </w:rPr>
        <w:t>图6： 2025年各分局</w:t>
      </w:r>
      <w:r>
        <w:rPr>
          <w:rFonts w:hint="eastAsia" w:ascii="楷体" w:hAnsi="楷体" w:eastAsia="楷体" w:cs="楷体"/>
          <w:b w:val="0"/>
          <w:bCs w:val="0"/>
          <w:color w:val="auto"/>
          <w:kern w:val="0"/>
          <w:sz w:val="21"/>
          <w:szCs w:val="21"/>
          <w:highlight w:val="none"/>
          <w:lang w:val="en-US" w:bidi="ar-SA"/>
        </w:rPr>
        <w:t>罚款金额排序</w:t>
      </w:r>
      <w:r>
        <w:rPr>
          <w:rFonts w:hint="eastAsia" w:ascii="楷体" w:hAnsi="楷体" w:eastAsia="楷体" w:cs="楷体"/>
          <w:b w:val="0"/>
          <w:bCs w:val="0"/>
          <w:color w:val="auto"/>
          <w:kern w:val="0"/>
          <w:sz w:val="21"/>
          <w:szCs w:val="21"/>
          <w:highlight w:val="none"/>
          <w:lang w:val="en-US" w:eastAsia="zh-CN" w:bidi="ar-SA"/>
        </w:rPr>
        <w:t>情况</w:t>
      </w:r>
      <w:r>
        <w:rPr>
          <w:rFonts w:hint="eastAsia" w:ascii="楷体" w:hAnsi="楷体" w:eastAsia="楷体" w:cs="楷体"/>
          <w:b w:val="0"/>
          <w:bCs w:val="0"/>
          <w:color w:val="auto"/>
          <w:kern w:val="0"/>
          <w:sz w:val="21"/>
          <w:szCs w:val="21"/>
          <w:highlight w:val="none"/>
          <w:lang w:val="en-US" w:bidi="ar-SA"/>
        </w:rPr>
        <w:t>（单位</w:t>
      </w:r>
      <w:r>
        <w:rPr>
          <w:rFonts w:hint="eastAsia" w:ascii="楷体" w:hAnsi="楷体" w:eastAsia="楷体" w:cs="楷体"/>
          <w:b w:val="0"/>
          <w:bCs w:val="0"/>
          <w:color w:val="auto"/>
          <w:kern w:val="0"/>
          <w:sz w:val="21"/>
          <w:szCs w:val="21"/>
          <w:highlight w:val="none"/>
          <w:lang w:val="en-US" w:eastAsia="zh-CN" w:bidi="ar-SA"/>
        </w:rPr>
        <w:t>：</w:t>
      </w:r>
      <w:r>
        <w:rPr>
          <w:rFonts w:hint="eastAsia" w:ascii="楷体" w:hAnsi="楷体" w:eastAsia="楷体" w:cs="楷体"/>
          <w:b w:val="0"/>
          <w:bCs w:val="0"/>
          <w:color w:val="auto"/>
          <w:kern w:val="0"/>
          <w:sz w:val="21"/>
          <w:szCs w:val="21"/>
          <w:highlight w:val="none"/>
          <w:lang w:val="en-US" w:bidi="ar-SA"/>
        </w:rPr>
        <w:t>元）</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color w:val="000000"/>
          <w:kern w:val="0"/>
          <w:sz w:val="32"/>
          <w:szCs w:val="32"/>
          <w:lang w:val="en-US" w:eastAsia="zh-CN" w:bidi="ar-SA"/>
        </w:rPr>
      </w:pPr>
      <w:r>
        <w:rPr>
          <w:rFonts w:hint="eastAsia" w:ascii="黑体" w:hAnsi="黑体" w:eastAsia="黑体" w:cs="黑体"/>
          <w:b w:val="0"/>
          <w:bCs w:val="0"/>
          <w:color w:val="000000"/>
          <w:kern w:val="0"/>
          <w:sz w:val="32"/>
          <w:szCs w:val="32"/>
          <w:lang w:val="en-US" w:eastAsia="zh-CN" w:bidi="ar-SA"/>
        </w:rPr>
        <w:t>三、生态环境行政处罚结果分析</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楷体" w:hAnsi="楷体" w:eastAsia="楷体" w:cs="楷体"/>
          <w:b/>
          <w:bCs/>
          <w:color w:val="000000"/>
          <w:kern w:val="0"/>
          <w:sz w:val="32"/>
          <w:szCs w:val="32"/>
          <w:lang w:val="en-US" w:eastAsia="zh-CN" w:bidi="ar-SA"/>
        </w:rPr>
      </w:pPr>
      <w:r>
        <w:rPr>
          <w:rFonts w:hint="eastAsia" w:ascii="楷体" w:hAnsi="楷体" w:eastAsia="楷体" w:cs="楷体"/>
          <w:b/>
          <w:bCs/>
          <w:color w:val="000000"/>
          <w:kern w:val="0"/>
          <w:sz w:val="32"/>
          <w:szCs w:val="32"/>
          <w:lang w:val="en-US" w:eastAsia="zh-CN" w:bidi="ar-SA"/>
        </w:rPr>
        <w:t>（一）行政违法案件数量分析</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宋体"/>
          <w:b w:val="0"/>
          <w:bCs w:val="0"/>
          <w:color w:val="auto"/>
          <w:kern w:val="0"/>
          <w:sz w:val="32"/>
          <w:szCs w:val="32"/>
          <w:lang w:val="en-US" w:eastAsia="zh-CN" w:bidi="ar-SA"/>
        </w:rPr>
      </w:pPr>
      <w:r>
        <w:rPr>
          <w:rFonts w:hint="eastAsia" w:ascii="仿宋" w:hAnsi="仿宋" w:eastAsia="仿宋" w:cs="宋体"/>
          <w:b w:val="0"/>
          <w:bCs w:val="0"/>
          <w:color w:val="auto"/>
          <w:kern w:val="0"/>
          <w:sz w:val="32"/>
          <w:szCs w:val="32"/>
          <w:lang w:val="en-US" w:eastAsia="zh-CN" w:bidi="ar-SA"/>
        </w:rPr>
        <w:t>2025年以来，我局继续全面落实《行政处罚法》的要求，做到轻微不罚、首次不罚、非故意不罚，免罚案件数量不断增加。对当事人违法行为依法免予行政处罚的，采取签订承诺书等方式教育、引导、督促其自觉守法。同时，这也是我局全面贯彻落实《保定市生态环境系统全面融入全力保障高质量的实施意见》的体现，给与企业适度容错改正空间，最大限度支持企业合法经营，助力我市经济平稳运行。</w:t>
      </w:r>
    </w:p>
    <w:p>
      <w:pPr>
        <w:pStyle w:val="2"/>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60" w:lineRule="exact"/>
        <w:ind w:firstLine="642" w:firstLineChars="200"/>
        <w:textAlignment w:val="auto"/>
        <w:rPr>
          <w:rFonts w:hint="eastAsia" w:ascii="楷体" w:hAnsi="楷体" w:eastAsia="楷体" w:cs="楷体"/>
          <w:b/>
          <w:bCs/>
          <w:color w:val="000000"/>
          <w:kern w:val="0"/>
          <w:sz w:val="32"/>
          <w:szCs w:val="32"/>
          <w:lang w:val="en-US" w:eastAsia="zh-CN" w:bidi="ar-SA"/>
        </w:rPr>
      </w:pPr>
      <w:r>
        <w:rPr>
          <w:rFonts w:hint="eastAsia" w:ascii="楷体" w:hAnsi="楷体" w:eastAsia="楷体" w:cs="楷体"/>
          <w:b/>
          <w:bCs/>
          <w:color w:val="000000"/>
          <w:kern w:val="0"/>
          <w:sz w:val="32"/>
          <w:szCs w:val="32"/>
          <w:lang w:val="en-US" w:eastAsia="zh-CN" w:bidi="ar-SA"/>
        </w:rPr>
        <w:t>（二）行政违法案件处罚事由分析</w:t>
      </w:r>
    </w:p>
    <w:p>
      <w:pPr>
        <w:pStyle w:val="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 w:hAnsi="仿宋" w:eastAsia="仿宋" w:cs="宋体"/>
          <w:b w:val="0"/>
          <w:bCs w:val="0"/>
          <w:color w:val="auto"/>
          <w:kern w:val="0"/>
          <w:sz w:val="32"/>
          <w:szCs w:val="32"/>
          <w:lang w:val="en-US" w:eastAsia="zh-CN" w:bidi="ar-SA"/>
        </w:rPr>
      </w:pPr>
      <w:r>
        <w:rPr>
          <w:rFonts w:hint="eastAsia" w:ascii="仿宋" w:hAnsi="仿宋" w:eastAsia="仿宋" w:cs="宋体"/>
          <w:b w:val="0"/>
          <w:bCs w:val="0"/>
          <w:color w:val="auto"/>
          <w:kern w:val="0"/>
          <w:sz w:val="32"/>
          <w:szCs w:val="32"/>
          <w:lang w:val="en-US" w:eastAsia="zh-CN" w:bidi="ar-SA"/>
        </w:rPr>
        <w:t>2025年</w:t>
      </w:r>
      <w:r>
        <w:rPr>
          <w:rFonts w:hint="eastAsia" w:ascii="仿宋" w:hAnsi="仿宋" w:eastAsia="仿宋" w:cs="宋体"/>
          <w:b w:val="0"/>
          <w:bCs w:val="0"/>
          <w:color w:val="auto"/>
          <w:kern w:val="0"/>
          <w:sz w:val="32"/>
          <w:szCs w:val="32"/>
          <w:highlight w:val="none"/>
          <w:lang w:val="en-US" w:eastAsia="zh-CN" w:bidi="ar-SA"/>
        </w:rPr>
        <w:t>第三季度我局的191件罚款案件中，涉气案件119件，占比62.3%。这</w:t>
      </w:r>
      <w:r>
        <w:rPr>
          <w:rFonts w:hint="eastAsia" w:ascii="仿宋" w:hAnsi="仿宋" w:eastAsia="仿宋" w:cs="宋体"/>
          <w:b w:val="0"/>
          <w:bCs w:val="0"/>
          <w:color w:val="auto"/>
          <w:kern w:val="0"/>
          <w:sz w:val="32"/>
          <w:szCs w:val="32"/>
          <w:lang w:val="en-US" w:eastAsia="zh-CN" w:bidi="ar-SA"/>
        </w:rPr>
        <w:t>反映出我市大气污染防治工作仍存在一定问题，大气环境质量形势依然严峻，大气治理水平仍有待进一步提升。而我市空气质量各项指标持续改善，说明了我局充分利用《大气污染防治法》这一有力法律武器，加强了我市大气污染防治工作，改善了我市空气质量。</w:t>
      </w:r>
    </w:p>
    <w:p>
      <w:pPr>
        <w:pStyle w:val="2"/>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60" w:lineRule="exact"/>
        <w:ind w:firstLine="642" w:firstLineChars="200"/>
        <w:textAlignment w:val="auto"/>
        <w:rPr>
          <w:rFonts w:hint="eastAsia" w:ascii="楷体" w:hAnsi="楷体" w:eastAsia="楷体" w:cs="楷体"/>
          <w:b/>
          <w:bCs/>
          <w:color w:val="000000"/>
          <w:kern w:val="0"/>
          <w:sz w:val="32"/>
          <w:szCs w:val="32"/>
          <w:lang w:val="en-US" w:eastAsia="zh-CN" w:bidi="ar-SA"/>
        </w:rPr>
      </w:pPr>
      <w:r>
        <w:rPr>
          <w:rFonts w:hint="eastAsia" w:ascii="楷体" w:hAnsi="楷体" w:eastAsia="楷体" w:cs="楷体"/>
          <w:b/>
          <w:bCs/>
          <w:color w:val="000000"/>
          <w:kern w:val="0"/>
          <w:sz w:val="32"/>
          <w:szCs w:val="32"/>
          <w:lang w:val="en-US" w:eastAsia="zh-CN" w:bidi="ar-SA"/>
        </w:rPr>
        <w:t>（三）行政违法案件处理结果分析</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color w:val="auto"/>
          <w:lang w:val="en-US" w:eastAsia="zh-CN"/>
        </w:rPr>
      </w:pPr>
      <w:r>
        <w:rPr>
          <w:rFonts w:hint="eastAsia" w:ascii="仿宋" w:hAnsi="仿宋" w:eastAsia="仿宋" w:cs="宋体"/>
          <w:b w:val="0"/>
          <w:bCs w:val="0"/>
          <w:color w:val="auto"/>
          <w:kern w:val="0"/>
          <w:sz w:val="32"/>
          <w:szCs w:val="32"/>
          <w:lang w:val="en-US" w:eastAsia="zh-CN" w:bidi="ar-SA"/>
        </w:rPr>
        <w:t>行政违法的处理结果有罚款、没收违法所得、责令限产停产、行政拘留、查封扣押。其中，罚款案件是行政违法处理的主要手段，责令限产停产对于企业打击力度较大的手段占比极小，说明我局在行政执法过程中，以规范企业行为和维护市场环保合规秩序为主要目的，更多采取对于企业不合规行为的惩罚以及督促其整改。</w:t>
      </w:r>
    </w:p>
    <w:p>
      <w:pPr>
        <w:keepNext w:val="0"/>
        <w:keepLines w:val="0"/>
        <w:pageBreakBefore w:val="0"/>
        <w:numPr>
          <w:ilvl w:val="0"/>
          <w:numId w:val="1"/>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color w:val="auto"/>
          <w:kern w:val="0"/>
          <w:sz w:val="32"/>
          <w:szCs w:val="32"/>
          <w:lang w:val="en-US" w:eastAsia="zh-CN" w:bidi="ar-SA"/>
        </w:rPr>
      </w:pPr>
      <w:r>
        <w:rPr>
          <w:rFonts w:hint="eastAsia" w:ascii="黑体" w:hAnsi="黑体" w:eastAsia="黑体" w:cs="黑体"/>
          <w:b w:val="0"/>
          <w:bCs w:val="0"/>
          <w:color w:val="auto"/>
          <w:kern w:val="0"/>
          <w:sz w:val="32"/>
          <w:szCs w:val="32"/>
          <w:lang w:val="en-US" w:eastAsia="zh-CN" w:bidi="ar-SA"/>
        </w:rPr>
        <w:t>存在问题及下步工作安排</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宋体"/>
          <w:b w:val="0"/>
          <w:bCs w:val="0"/>
          <w:color w:val="auto"/>
          <w:kern w:val="0"/>
          <w:sz w:val="32"/>
          <w:szCs w:val="32"/>
          <w:highlight w:val="none"/>
          <w:lang w:val="en-US" w:eastAsia="zh-CN" w:bidi="ar-SA"/>
        </w:rPr>
      </w:pPr>
      <w:r>
        <w:rPr>
          <w:rFonts w:hint="eastAsia" w:ascii="仿宋" w:hAnsi="仿宋" w:eastAsia="仿宋" w:cs="宋体"/>
          <w:b w:val="0"/>
          <w:bCs w:val="0"/>
          <w:color w:val="auto"/>
          <w:kern w:val="0"/>
          <w:sz w:val="32"/>
          <w:szCs w:val="32"/>
          <w:lang w:val="en-US" w:eastAsia="zh-CN" w:bidi="ar-SA"/>
        </w:rPr>
        <w:t>近年来，我局在行政执法监督方面取得了一定的进展。但仍然存在行政执法监督制度设计不完善、部分执法人员执法行为不规范、监督缺乏现代化的科技手段支持及监督效率低下等问题。下一步，我科将进一步健全工作机制，抓好《保定市生态环境局行政处罚程序实施细则》的贯彻落实，依托一案三审、案卷会审等制度强化行政执法监督，切实规范行政处罚，全面提升案件质效，不断提高依法行政的能力和水平,切实提行政执法监督水平。</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3520" w:firstLineChars="1100"/>
        <w:textAlignment w:val="auto"/>
        <w:rPr>
          <w:rFonts w:hint="eastAsia" w:ascii="仿宋" w:hAnsi="仿宋" w:eastAsia="仿宋" w:cs="宋体"/>
          <w:b w:val="0"/>
          <w:bCs w:val="0"/>
          <w:color w:val="auto"/>
          <w:kern w:val="0"/>
          <w:sz w:val="32"/>
          <w:szCs w:val="32"/>
          <w:lang w:val="en-US" w:eastAsia="zh-CN" w:bidi="ar-SA"/>
        </w:rPr>
      </w:pP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4480" w:firstLineChars="1400"/>
        <w:textAlignment w:val="auto"/>
        <w:rPr>
          <w:rFonts w:hint="eastAsia" w:ascii="仿宋" w:hAnsi="仿宋" w:eastAsia="仿宋" w:cs="宋体"/>
          <w:b w:val="0"/>
          <w:bCs w:val="0"/>
          <w:color w:val="auto"/>
          <w:kern w:val="0"/>
          <w:sz w:val="32"/>
          <w:szCs w:val="32"/>
          <w:lang w:val="en-US" w:eastAsia="zh-CN" w:bidi="ar-SA"/>
        </w:rPr>
      </w:pPr>
      <w:r>
        <w:rPr>
          <w:rFonts w:hint="eastAsia" w:ascii="仿宋" w:hAnsi="仿宋" w:eastAsia="仿宋" w:cs="宋体"/>
          <w:b w:val="0"/>
          <w:bCs w:val="0"/>
          <w:color w:val="auto"/>
          <w:kern w:val="0"/>
          <w:sz w:val="32"/>
          <w:szCs w:val="32"/>
          <w:lang w:val="en-US" w:eastAsia="zh-CN" w:bidi="ar-SA"/>
        </w:rPr>
        <w:t>保定市生态环境局</w:t>
      </w:r>
    </w:p>
    <w:p>
      <w:pPr>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4480" w:firstLineChars="1400"/>
        <w:textAlignment w:val="auto"/>
        <w:rPr>
          <w:rFonts w:hint="default" w:ascii="仿宋" w:hAnsi="仿宋" w:eastAsia="仿宋" w:cs="宋体"/>
          <w:b w:val="0"/>
          <w:bCs w:val="0"/>
          <w:color w:val="auto"/>
          <w:kern w:val="0"/>
          <w:sz w:val="32"/>
          <w:szCs w:val="32"/>
          <w:lang w:val="en-US" w:eastAsia="zh-CN" w:bidi="ar-SA"/>
        </w:rPr>
      </w:pPr>
      <w:r>
        <w:rPr>
          <w:rFonts w:hint="eastAsia" w:ascii="仿宋" w:hAnsi="仿宋" w:eastAsia="仿宋" w:cs="宋体"/>
          <w:b w:val="0"/>
          <w:bCs w:val="0"/>
          <w:color w:val="auto"/>
          <w:kern w:val="0"/>
          <w:sz w:val="32"/>
          <w:szCs w:val="32"/>
          <w:lang w:val="en-US" w:eastAsia="zh-CN" w:bidi="ar-SA"/>
        </w:rPr>
        <w:t>2026年1月23日</w:t>
      </w:r>
    </w:p>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3FE229D"/>
    <w:rsid w:val="0CBD5AE5"/>
    <w:rsid w:val="0E7E9037"/>
    <w:rsid w:val="0F9E2DF9"/>
    <w:rsid w:val="1F675440"/>
    <w:rsid w:val="25272116"/>
    <w:rsid w:val="2BFE8838"/>
    <w:rsid w:val="37FFA198"/>
    <w:rsid w:val="3B3578A8"/>
    <w:rsid w:val="3D45D40F"/>
    <w:rsid w:val="3EDFB634"/>
    <w:rsid w:val="437FD509"/>
    <w:rsid w:val="53D4BFE6"/>
    <w:rsid w:val="55FF951F"/>
    <w:rsid w:val="566F84F2"/>
    <w:rsid w:val="56BFBD7F"/>
    <w:rsid w:val="57DA57FA"/>
    <w:rsid w:val="57F434E6"/>
    <w:rsid w:val="57FACF55"/>
    <w:rsid w:val="5A977CE7"/>
    <w:rsid w:val="5ABB3613"/>
    <w:rsid w:val="5E5A4400"/>
    <w:rsid w:val="5F7526AF"/>
    <w:rsid w:val="5FFF98A7"/>
    <w:rsid w:val="69EF5929"/>
    <w:rsid w:val="6F2FA861"/>
    <w:rsid w:val="6FE37E43"/>
    <w:rsid w:val="6FFB7794"/>
    <w:rsid w:val="6FFEC1DE"/>
    <w:rsid w:val="75B72238"/>
    <w:rsid w:val="76C50CBC"/>
    <w:rsid w:val="76DF0CED"/>
    <w:rsid w:val="776FC32B"/>
    <w:rsid w:val="77FBE839"/>
    <w:rsid w:val="7B37A2D8"/>
    <w:rsid w:val="7B7EFF41"/>
    <w:rsid w:val="7BAC2453"/>
    <w:rsid w:val="7BFF4EF2"/>
    <w:rsid w:val="7C7FE5EC"/>
    <w:rsid w:val="7D3B6DF8"/>
    <w:rsid w:val="7D9F5A70"/>
    <w:rsid w:val="7D9FDF13"/>
    <w:rsid w:val="7DEF37FE"/>
    <w:rsid w:val="7DF76958"/>
    <w:rsid w:val="7E5F085A"/>
    <w:rsid w:val="7EB7207B"/>
    <w:rsid w:val="7EF6A740"/>
    <w:rsid w:val="7FB30F47"/>
    <w:rsid w:val="94FBB3E9"/>
    <w:rsid w:val="9FF60F8F"/>
    <w:rsid w:val="ADF7A77B"/>
    <w:rsid w:val="B6B7F791"/>
    <w:rsid w:val="B77AF229"/>
    <w:rsid w:val="B7FEF072"/>
    <w:rsid w:val="B9AEC51C"/>
    <w:rsid w:val="BEDBB476"/>
    <w:rsid w:val="BF6FEE05"/>
    <w:rsid w:val="BFF70EA1"/>
    <w:rsid w:val="BFF9E3E9"/>
    <w:rsid w:val="CBFF4369"/>
    <w:rsid w:val="CFC2DD48"/>
    <w:rsid w:val="D3FE229D"/>
    <w:rsid w:val="D7E45939"/>
    <w:rsid w:val="D8AFA289"/>
    <w:rsid w:val="DF5DA4BA"/>
    <w:rsid w:val="DFEF2F9E"/>
    <w:rsid w:val="DFFFD3BB"/>
    <w:rsid w:val="E2FE3403"/>
    <w:rsid w:val="EBFF7731"/>
    <w:rsid w:val="ECE9E422"/>
    <w:rsid w:val="ED33FD6B"/>
    <w:rsid w:val="EDFF2753"/>
    <w:rsid w:val="EF7D9D44"/>
    <w:rsid w:val="EFDF46D9"/>
    <w:rsid w:val="F6AFF202"/>
    <w:rsid w:val="F6DE31CF"/>
    <w:rsid w:val="F7345A27"/>
    <w:rsid w:val="F7ED0360"/>
    <w:rsid w:val="FAFF7794"/>
    <w:rsid w:val="FBFFBAEA"/>
    <w:rsid w:val="FCFF1B8F"/>
    <w:rsid w:val="FDFFD201"/>
    <w:rsid w:val="FEF7AA9A"/>
    <w:rsid w:val="FEFCEC2B"/>
    <w:rsid w:val="FF77185C"/>
    <w:rsid w:val="FF776F5F"/>
    <w:rsid w:val="FF7F4517"/>
    <w:rsid w:val="FF7F5A0C"/>
    <w:rsid w:val="FFB386B8"/>
    <w:rsid w:val="FFB7AEB4"/>
    <w:rsid w:val="FFDB1305"/>
    <w:rsid w:val="FFECF1B6"/>
    <w:rsid w:val="FFF7F420"/>
    <w:rsid w:val="FFFA182B"/>
    <w:rsid w:val="FFFFC0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paragraph" w:styleId="2">
    <w:name w:val="heading 3"/>
    <w:basedOn w:val="1"/>
    <w:next w:val="1"/>
    <w:qFormat/>
    <w:uiPriority w:val="9"/>
    <w:pPr>
      <w:widowControl/>
      <w:spacing w:before="100" w:beforeAutospacing="1" w:after="100" w:afterAutospacing="1"/>
      <w:jc w:val="left"/>
      <w:outlineLvl w:val="2"/>
    </w:pPr>
    <w:rPr>
      <w:rFonts w:ascii="宋体" w:hAnsi="宋体" w:cs="宋体"/>
      <w:b/>
      <w:bCs/>
      <w:kern w:val="0"/>
      <w:sz w:val="27"/>
      <w:szCs w:val="27"/>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layout/>
      <c:overlay val="false"/>
      <c:spPr>
        <a:noFill/>
        <a:ln>
          <a:noFill/>
        </a:ln>
        <a:effectLst/>
      </c:spPr>
      <c:txPr>
        <a:bodyPr rot="0" spcFirstLastPara="0" vertOverflow="ellipsis" vert="horz" wrap="square" anchor="ctr" anchorCtr="true"/>
        <a:lstStyle/>
        <a:p>
          <a:pPr>
            <a:defRPr lang="zh-CN" sz="1400" b="1" i="0" u="none" strike="noStrike" kern="1200" baseline="0">
              <a:solidFill>
                <a:schemeClr val="tx1">
                  <a:lumMod val="75000"/>
                  <a:lumOff val="25000"/>
                </a:schemeClr>
              </a:solidFill>
              <a:latin typeface="+mn-lt"/>
              <a:ea typeface="+mn-ea"/>
              <a:cs typeface="+mn-cs"/>
            </a:defRPr>
          </a:pPr>
        </a:p>
      </c:txPr>
    </c:title>
    <c:autoTitleDeleted val="false"/>
    <c:plotArea>
      <c:layout/>
      <c:pieChart>
        <c:varyColors val="true"/>
        <c:ser>
          <c:idx val="0"/>
          <c:order val="0"/>
          <c:tx>
            <c:strRef>
              <c:f>Sheet1!$B$1</c:f>
              <c:strCache>
                <c:ptCount val="1"/>
                <c:pt idx="0">
                  <c:v>违法行为类型占比</c:v>
                </c:pt>
              </c:strCache>
            </c:strRef>
          </c:tx>
          <c:spPr/>
          <c:explosion val="0"/>
          <c:dPt>
            <c:idx val="0"/>
            <c:bubble3D val="false"/>
            <c:spPr>
              <a:solidFill>
                <a:schemeClr val="accent1"/>
              </a:solidFill>
              <a:ln>
                <a:solidFill>
                  <a:schemeClr val="bg1"/>
                </a:solidFill>
              </a:ln>
              <a:effectLst/>
            </c:spPr>
          </c:dPt>
          <c:dPt>
            <c:idx val="1"/>
            <c:bubble3D val="false"/>
            <c:spPr>
              <a:solidFill>
                <a:schemeClr val="accent2"/>
              </a:solidFill>
              <a:ln>
                <a:solidFill>
                  <a:schemeClr val="bg1"/>
                </a:solidFill>
              </a:ln>
              <a:effectLst/>
            </c:spPr>
          </c:dPt>
          <c:dPt>
            <c:idx val="2"/>
            <c:bubble3D val="false"/>
            <c:spPr>
              <a:solidFill>
                <a:schemeClr val="accent3"/>
              </a:solidFill>
              <a:ln>
                <a:solidFill>
                  <a:schemeClr val="bg1"/>
                </a:solidFill>
              </a:ln>
              <a:effectLst/>
            </c:spPr>
          </c:dPt>
          <c:dPt>
            <c:idx val="3"/>
            <c:bubble3D val="false"/>
            <c:spPr>
              <a:solidFill>
                <a:schemeClr val="accent4"/>
              </a:solidFill>
              <a:ln>
                <a:solidFill>
                  <a:schemeClr val="bg1"/>
                </a:solidFill>
              </a:ln>
              <a:effectLst/>
            </c:spPr>
          </c:dPt>
          <c:dPt>
            <c:idx val="4"/>
            <c:bubble3D val="false"/>
            <c:spPr>
              <a:solidFill>
                <a:schemeClr val="accent5"/>
              </a:solidFill>
              <a:ln>
                <a:solidFill>
                  <a:schemeClr val="bg1"/>
                </a:solidFill>
              </a:ln>
              <a:effectLst/>
            </c:spPr>
          </c:dPt>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false"/>
            <c:showVal val="true"/>
            <c:showCatName val="false"/>
            <c:showSerName val="false"/>
            <c:showPercent val="fals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Sheet1!$A$2:$A$6</c:f>
              <c:strCache>
                <c:ptCount val="5"/>
                <c:pt idx="0">
                  <c:v>涉气</c:v>
                </c:pt>
                <c:pt idx="1">
                  <c:v>涉水</c:v>
                </c:pt>
                <c:pt idx="2">
                  <c:v>涉固废危废和土壤</c:v>
                </c:pt>
                <c:pt idx="3">
                  <c:v>建设项目</c:v>
                </c:pt>
                <c:pt idx="4">
                  <c:v>其他</c:v>
                </c:pt>
              </c:strCache>
            </c:strRef>
          </c:cat>
          <c:val>
            <c:numRef>
              <c:f>Sheet1!$B$2:$B$6</c:f>
              <c:numCache>
                <c:formatCode>General</c:formatCode>
                <c:ptCount val="5"/>
                <c:pt idx="0">
                  <c:v>119</c:v>
                </c:pt>
                <c:pt idx="1">
                  <c:v>8</c:v>
                </c:pt>
                <c:pt idx="2">
                  <c:v>7</c:v>
                </c:pt>
                <c:pt idx="3">
                  <c:v>3</c:v>
                </c:pt>
                <c:pt idx="4">
                  <c:v>57</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1" i="0" u="none" strike="noStrike" kern="1200" baseline="0">
                <a:solidFill>
                  <a:schemeClr val="tx1">
                    <a:lumMod val="75000"/>
                    <a:lumOff val="25000"/>
                  </a:schemeClr>
                </a:solidFill>
                <a:latin typeface="+mn-lt"/>
                <a:ea typeface="+mn-ea"/>
                <a:cs typeface="+mn-cs"/>
              </a:defRPr>
            </a:pPr>
            <a:r>
              <a:t>涉气案件类别</a:t>
            </a:r>
          </a:p>
        </c:rich>
      </c:tx>
      <c:layout/>
      <c:overlay val="false"/>
      <c:spPr>
        <a:noFill/>
        <a:ln>
          <a:noFill/>
        </a:ln>
        <a:effectLst/>
      </c:spPr>
    </c:title>
    <c:autoTitleDeleted val="false"/>
    <c:plotArea>
      <c:layout/>
      <c:pieChart>
        <c:varyColors val="true"/>
        <c:ser>
          <c:idx val="0"/>
          <c:order val="0"/>
          <c:spPr/>
          <c:explosion val="0"/>
          <c:dPt>
            <c:idx val="0"/>
            <c:bubble3D val="false"/>
            <c:spPr>
              <a:solidFill>
                <a:schemeClr val="accent1"/>
              </a:solidFill>
              <a:ln>
                <a:solidFill>
                  <a:schemeClr val="bg1"/>
                </a:solidFill>
              </a:ln>
              <a:effectLst/>
            </c:spPr>
          </c:dPt>
          <c:dPt>
            <c:idx val="1"/>
            <c:bubble3D val="false"/>
            <c:spPr>
              <a:solidFill>
                <a:schemeClr val="accent2"/>
              </a:solidFill>
              <a:ln>
                <a:solidFill>
                  <a:schemeClr val="bg1"/>
                </a:solidFill>
              </a:ln>
              <a:effectLst/>
            </c:spPr>
          </c:dPt>
          <c:dPt>
            <c:idx val="2"/>
            <c:bubble3D val="false"/>
            <c:spPr>
              <a:solidFill>
                <a:schemeClr val="accent3"/>
              </a:solidFill>
              <a:ln>
                <a:solidFill>
                  <a:schemeClr val="bg1"/>
                </a:solidFill>
              </a:ln>
              <a:effectLst/>
            </c:spPr>
          </c:dPt>
          <c:dPt>
            <c:idx val="3"/>
            <c:bubble3D val="false"/>
            <c:spPr>
              <a:solidFill>
                <a:schemeClr val="accent4"/>
              </a:solidFill>
              <a:ln>
                <a:solidFill>
                  <a:schemeClr val="bg1"/>
                </a:solidFill>
              </a:ln>
              <a:effectLst/>
            </c:spPr>
          </c:dPt>
          <c:dPt>
            <c:idx val="4"/>
            <c:bubble3D val="false"/>
            <c:spPr>
              <a:solidFill>
                <a:schemeClr val="accent5"/>
              </a:solidFill>
              <a:ln>
                <a:solidFill>
                  <a:schemeClr val="bg1"/>
                </a:solidFill>
              </a:ln>
              <a:effectLst/>
            </c:spPr>
          </c:dPt>
          <c:dPt>
            <c:idx val="5"/>
            <c:bubble3D val="false"/>
            <c:spPr>
              <a:solidFill>
                <a:schemeClr val="accent6"/>
              </a:solidFill>
              <a:ln>
                <a:solidFill>
                  <a:schemeClr val="bg1"/>
                </a:solidFill>
              </a:ln>
              <a:effectLst/>
            </c:spPr>
          </c:dPt>
          <c:dPt>
            <c:idx val="6"/>
            <c:bubble3D val="false"/>
            <c:spPr>
              <a:solidFill>
                <a:schemeClr val="accent1">
                  <a:lumMod val="60000"/>
                </a:schemeClr>
              </a:solidFill>
              <a:ln>
                <a:solidFill>
                  <a:schemeClr val="bg1"/>
                </a:solidFill>
              </a:ln>
              <a:effectLst/>
            </c:spPr>
          </c:dPt>
          <c:dPt>
            <c:idx val="7"/>
            <c:bubble3D val="false"/>
            <c:spPr>
              <a:solidFill>
                <a:schemeClr val="accent2">
                  <a:lumMod val="60000"/>
                </a:schemeClr>
              </a:solidFill>
              <a:ln>
                <a:solidFill>
                  <a:schemeClr val="bg1"/>
                </a:solidFill>
              </a:ln>
              <a:effectLst/>
            </c:spPr>
          </c:dPt>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false"/>
            <c:showVal val="true"/>
            <c:showCatName val="false"/>
            <c:showSerName val="false"/>
            <c:showPercent val="tru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Sheet1!$A$2:$A$9</c:f>
              <c:strCache>
                <c:ptCount val="8"/>
                <c:pt idx="0">
                  <c:v>不正常运行</c:v>
                </c:pt>
                <c:pt idx="1">
                  <c:v>超标排放</c:v>
                </c:pt>
                <c:pt idx="2">
                  <c:v>扬尘污染</c:v>
                </c:pt>
                <c:pt idx="3">
                  <c:v>无组织排放</c:v>
                </c:pt>
                <c:pt idx="4">
                  <c:v>涉VOC</c:v>
                </c:pt>
                <c:pt idx="5">
                  <c:v>涉自动监控设施</c:v>
                </c:pt>
                <c:pt idx="6">
                  <c:v>重污染天气应急</c:v>
                </c:pt>
                <c:pt idx="7">
                  <c:v>其他</c:v>
                </c:pt>
              </c:strCache>
            </c:strRef>
          </c:cat>
          <c:val>
            <c:numRef>
              <c:f>Sheet1!$B$2:$B$9</c:f>
              <c:numCache>
                <c:formatCode>General</c:formatCode>
                <c:ptCount val="8"/>
                <c:pt idx="0">
                  <c:v>8</c:v>
                </c:pt>
                <c:pt idx="1">
                  <c:v>0</c:v>
                </c:pt>
                <c:pt idx="2">
                  <c:v>8</c:v>
                </c:pt>
                <c:pt idx="3">
                  <c:v>3</c:v>
                </c:pt>
                <c:pt idx="4">
                  <c:v>17</c:v>
                </c:pt>
                <c:pt idx="5">
                  <c:v>5</c:v>
                </c:pt>
                <c:pt idx="6">
                  <c:v>71</c:v>
                </c:pt>
                <c:pt idx="7">
                  <c:v>8</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layout/>
      <c:overlay val="false"/>
      <c:spPr>
        <a:noFill/>
        <a:ln>
          <a:noFill/>
        </a:ln>
        <a:effectLst/>
      </c:spPr>
      <c:txPr>
        <a:bodyPr rot="0" spcFirstLastPara="0" vertOverflow="ellipsis" vert="horz" wrap="square" anchor="ctr" anchorCtr="true"/>
        <a:lstStyle/>
        <a:p>
          <a:pPr>
            <a:defRPr lang="zh-CN" sz="1400" b="1" i="0" u="none" strike="noStrike" kern="1200" baseline="0">
              <a:solidFill>
                <a:schemeClr val="tx1">
                  <a:lumMod val="75000"/>
                  <a:lumOff val="25000"/>
                </a:schemeClr>
              </a:solidFill>
              <a:latin typeface="+mn-lt"/>
              <a:ea typeface="+mn-ea"/>
              <a:cs typeface="+mn-cs"/>
            </a:defRPr>
          </a:pPr>
        </a:p>
      </c:txPr>
    </c:title>
    <c:autoTitleDeleted val="false"/>
    <c:plotArea>
      <c:layout/>
      <c:pieChart>
        <c:varyColors val="true"/>
        <c:ser>
          <c:idx val="0"/>
          <c:order val="0"/>
          <c:tx>
            <c:strRef>
              <c:f>Sheet1!$B$1</c:f>
              <c:strCache>
                <c:ptCount val="1"/>
                <c:pt idx="0">
                  <c:v>违法行为案件种类</c:v>
                </c:pt>
              </c:strCache>
            </c:strRef>
          </c:tx>
          <c:spPr/>
          <c:explosion val="0"/>
          <c:dPt>
            <c:idx val="0"/>
            <c:bubble3D val="false"/>
            <c:spPr>
              <a:solidFill>
                <a:schemeClr val="accent1"/>
              </a:solidFill>
              <a:ln>
                <a:solidFill>
                  <a:schemeClr val="bg1"/>
                </a:solidFill>
              </a:ln>
              <a:effectLst/>
            </c:spPr>
          </c:dPt>
          <c:dPt>
            <c:idx val="1"/>
            <c:bubble3D val="false"/>
            <c:spPr>
              <a:solidFill>
                <a:schemeClr val="accent2"/>
              </a:solidFill>
              <a:ln>
                <a:solidFill>
                  <a:schemeClr val="bg1"/>
                </a:solidFill>
              </a:ln>
              <a:effectLst/>
            </c:spPr>
          </c:dPt>
          <c:dPt>
            <c:idx val="2"/>
            <c:bubble3D val="false"/>
            <c:spPr>
              <a:solidFill>
                <a:schemeClr val="accent3"/>
              </a:solidFill>
              <a:ln>
                <a:solidFill>
                  <a:schemeClr val="bg1"/>
                </a:solidFill>
              </a:ln>
              <a:effectLst/>
            </c:spPr>
          </c:dPt>
          <c:dPt>
            <c:idx val="3"/>
            <c:bubble3D val="false"/>
            <c:spPr>
              <a:solidFill>
                <a:schemeClr val="accent4"/>
              </a:solidFill>
              <a:ln>
                <a:solidFill>
                  <a:schemeClr val="bg1"/>
                </a:solidFill>
              </a:ln>
              <a:effectLst/>
            </c:spPr>
          </c:dPt>
          <c:dPt>
            <c:idx val="4"/>
            <c:bubble3D val="false"/>
            <c:spPr>
              <a:solidFill>
                <a:schemeClr val="accent5"/>
              </a:solidFill>
              <a:ln>
                <a:solidFill>
                  <a:schemeClr val="bg1"/>
                </a:solidFill>
              </a:ln>
              <a:effectLst/>
            </c:spPr>
          </c:dPt>
          <c:dPt>
            <c:idx val="5"/>
            <c:bubble3D val="false"/>
            <c:spPr>
              <a:solidFill>
                <a:schemeClr val="accent6"/>
              </a:solidFill>
              <a:ln>
                <a:solidFill>
                  <a:schemeClr val="bg1"/>
                </a:solidFill>
              </a:ln>
              <a:effectLst/>
            </c:spPr>
          </c:dPt>
          <c:dPt>
            <c:idx val="6"/>
            <c:bubble3D val="false"/>
            <c:spPr>
              <a:solidFill>
                <a:schemeClr val="accent1">
                  <a:lumMod val="60000"/>
                </a:schemeClr>
              </a:solidFill>
              <a:ln>
                <a:solidFill>
                  <a:schemeClr val="bg1"/>
                </a:solidFill>
              </a:ln>
              <a:effectLst/>
            </c:spPr>
          </c:dPt>
          <c:dPt>
            <c:idx val="7"/>
            <c:bubble3D val="false"/>
            <c:spPr>
              <a:solidFill>
                <a:schemeClr val="accent2">
                  <a:lumMod val="60000"/>
                </a:schemeClr>
              </a:solidFill>
              <a:ln>
                <a:solidFill>
                  <a:schemeClr val="bg1"/>
                </a:solidFill>
              </a:ln>
              <a:effectLst/>
            </c:spPr>
          </c:dPt>
          <c:dPt>
            <c:idx val="8"/>
            <c:bubble3D val="false"/>
            <c:spPr>
              <a:solidFill>
                <a:schemeClr val="accent3">
                  <a:lumMod val="60000"/>
                </a:schemeClr>
              </a:solidFill>
              <a:ln>
                <a:solidFill>
                  <a:schemeClr val="bg1"/>
                </a:solidFill>
              </a:ln>
              <a:effectLst/>
            </c:spPr>
          </c:dPt>
          <c:dPt>
            <c:idx val="9"/>
            <c:bubble3D val="false"/>
            <c:spPr>
              <a:solidFill>
                <a:schemeClr val="accent4">
                  <a:lumMod val="60000"/>
                </a:schemeClr>
              </a:solidFill>
              <a:ln>
                <a:solidFill>
                  <a:schemeClr val="bg1"/>
                </a:solidFill>
              </a:ln>
              <a:effectLst/>
            </c:spPr>
          </c:dPt>
          <c:dPt>
            <c:idx val="10"/>
            <c:bubble3D val="false"/>
            <c:spPr>
              <a:solidFill>
                <a:schemeClr val="accent5">
                  <a:lumMod val="60000"/>
                </a:schemeClr>
              </a:solidFill>
              <a:ln>
                <a:solidFill>
                  <a:schemeClr val="bg1"/>
                </a:solidFill>
              </a:ln>
              <a:effectLst/>
            </c:spPr>
          </c:dPt>
          <c:dPt>
            <c:idx val="11"/>
            <c:bubble3D val="false"/>
            <c:spPr>
              <a:solidFill>
                <a:schemeClr val="accent6">
                  <a:lumMod val="60000"/>
                </a:schemeClr>
              </a:solidFill>
              <a:ln>
                <a:solidFill>
                  <a:schemeClr val="bg1"/>
                </a:solidFill>
              </a:ln>
              <a:effectLst/>
            </c:spPr>
          </c:dPt>
          <c:dPt>
            <c:idx val="12"/>
            <c:bubble3D val="false"/>
            <c:spPr>
              <a:solidFill>
                <a:schemeClr val="accent1">
                  <a:lumMod val="80000"/>
                  <a:lumOff val="20000"/>
                </a:schemeClr>
              </a:solidFill>
              <a:ln>
                <a:solidFill>
                  <a:schemeClr val="bg1"/>
                </a:solidFill>
              </a:ln>
              <a:effectLst/>
            </c:spPr>
          </c:dPt>
          <c:dPt>
            <c:idx val="13"/>
            <c:bubble3D val="false"/>
            <c:spPr>
              <a:solidFill>
                <a:schemeClr val="accent2">
                  <a:lumMod val="80000"/>
                  <a:lumOff val="20000"/>
                </a:schemeClr>
              </a:solidFill>
              <a:ln>
                <a:solidFill>
                  <a:schemeClr val="bg1"/>
                </a:solidFill>
              </a:ln>
              <a:effectLst/>
            </c:spPr>
          </c:dPt>
          <c:dPt>
            <c:idx val="14"/>
            <c:bubble3D val="false"/>
            <c:spPr>
              <a:solidFill>
                <a:schemeClr val="accent3">
                  <a:lumMod val="80000"/>
                  <a:lumOff val="20000"/>
                </a:schemeClr>
              </a:solidFill>
              <a:ln>
                <a:solidFill>
                  <a:schemeClr val="bg1"/>
                </a:solidFill>
              </a:ln>
              <a:effectLst/>
            </c:spPr>
          </c:dPt>
          <c:dPt>
            <c:idx val="15"/>
            <c:bubble3D val="false"/>
            <c:spPr>
              <a:solidFill>
                <a:schemeClr val="accent4">
                  <a:lumMod val="80000"/>
                  <a:lumOff val="20000"/>
                </a:schemeClr>
              </a:solidFill>
              <a:ln>
                <a:solidFill>
                  <a:schemeClr val="bg1"/>
                </a:solidFill>
              </a:ln>
              <a:effectLst/>
            </c:spPr>
          </c:dPt>
          <c:dPt>
            <c:idx val="16"/>
            <c:bubble3D val="false"/>
            <c:spPr>
              <a:solidFill>
                <a:schemeClr val="accent5">
                  <a:lumMod val="80000"/>
                  <a:lumOff val="20000"/>
                </a:schemeClr>
              </a:solidFill>
              <a:ln>
                <a:solidFill>
                  <a:schemeClr val="bg1"/>
                </a:solidFill>
              </a:ln>
              <a:effectLst/>
            </c:spPr>
          </c:dPt>
          <c:dPt>
            <c:idx val="17"/>
            <c:bubble3D val="false"/>
            <c:spPr>
              <a:solidFill>
                <a:schemeClr val="accent6">
                  <a:lumMod val="80000"/>
                  <a:lumOff val="20000"/>
                </a:schemeClr>
              </a:solidFill>
              <a:ln>
                <a:solidFill>
                  <a:schemeClr val="bg1"/>
                </a:solidFill>
              </a:ln>
              <a:effectLst/>
            </c:spPr>
          </c:dPt>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false"/>
            <c:showVal val="true"/>
            <c:showCatName val="false"/>
            <c:showSerName val="false"/>
            <c:showPercent val="fals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Sheet1!$A$2:$A$19</c:f>
              <c:strCache>
                <c:ptCount val="18"/>
                <c:pt idx="0">
                  <c:v>未按照应急预案落实限产、停产措施案 71</c:v>
                </c:pt>
                <c:pt idx="1">
                  <c:v>产生含挥发性有机物废气的生产和服务活动，未按照规定安装、使用污染防治设施案 16</c:v>
                </c:pt>
                <c:pt idx="2">
                  <c:v>特殊时段未按照排污许可证规定停止或者限制排放污染物案 16</c:v>
                </c:pt>
                <c:pt idx="3">
                  <c:v>未依法报批环评文件，擅自开工建设案 10</c:v>
                </c:pt>
                <c:pt idx="4">
                  <c:v>超过许可排放浓度、排放量排放污染物案 9</c:v>
                </c:pt>
                <c:pt idx="5">
                  <c:v>生态环境监测机构出具虚假监测报告案 8</c:v>
                </c:pt>
                <c:pt idx="6">
                  <c:v>未采取措施，控制粉尘排放案 6</c:v>
                </c:pt>
                <c:pt idx="7">
                  <c:v>擅自拆除、闲置、改装污染控制装置案 5</c:v>
                </c:pt>
                <c:pt idx="8">
                  <c:v>未按照国家及本省规定的排放检验方法、技术规范和排放标准进行排放检验案 5</c:v>
                </c:pt>
                <c:pt idx="9">
                  <c:v>擅自倾倒、堆放、丢弃、遗撒工业固体废物案 3</c:v>
                </c:pt>
                <c:pt idx="10">
                  <c:v>未按照规定使用自动监测设备案 3</c:v>
                </c:pt>
                <c:pt idx="11">
                  <c:v>超标排放水污染物案（公益单位） 2</c:v>
                </c:pt>
                <c:pt idx="12">
                  <c:v>环评文件未经批准，擅自开工建设案 2</c:v>
                </c:pt>
                <c:pt idx="13">
                  <c:v>建设项目发生重大变动，未重新报批环评文件，擅自开工建设案 2</c:v>
                </c:pt>
                <c:pt idx="14">
                  <c:v>逃避监管方式排放污染物案 2</c:v>
                </c:pt>
                <c:pt idx="15">
                  <c:v>违反操作规程使用污染物处理设施案 2</c:v>
                </c:pt>
                <c:pt idx="16">
                  <c:v>未采取措施，控制气态污染物排放案 2</c:v>
                </c:pt>
                <c:pt idx="17">
                  <c:v>其他 27</c:v>
                </c:pt>
              </c:strCache>
            </c:strRef>
          </c:cat>
          <c:val>
            <c:numRef>
              <c:f>Sheet1!$B$2:$B$19</c:f>
              <c:numCache>
                <c:formatCode>General</c:formatCode>
                <c:ptCount val="18"/>
                <c:pt idx="0">
                  <c:v>71</c:v>
                </c:pt>
                <c:pt idx="1">
                  <c:v>16</c:v>
                </c:pt>
                <c:pt idx="2">
                  <c:v>16</c:v>
                </c:pt>
                <c:pt idx="3">
                  <c:v>10</c:v>
                </c:pt>
                <c:pt idx="4">
                  <c:v>9</c:v>
                </c:pt>
                <c:pt idx="5">
                  <c:v>8</c:v>
                </c:pt>
                <c:pt idx="6">
                  <c:v>6</c:v>
                </c:pt>
                <c:pt idx="7">
                  <c:v>5</c:v>
                </c:pt>
                <c:pt idx="8">
                  <c:v>5</c:v>
                </c:pt>
                <c:pt idx="9">
                  <c:v>3</c:v>
                </c:pt>
                <c:pt idx="10">
                  <c:v>3</c:v>
                </c:pt>
                <c:pt idx="11">
                  <c:v>2</c:v>
                </c:pt>
                <c:pt idx="12">
                  <c:v>2</c:v>
                </c:pt>
                <c:pt idx="13">
                  <c:v>2</c:v>
                </c:pt>
                <c:pt idx="14">
                  <c:v>2</c:v>
                </c:pt>
                <c:pt idx="15">
                  <c:v>2</c:v>
                </c:pt>
                <c:pt idx="16">
                  <c:v>2</c:v>
                </c:pt>
                <c:pt idx="17">
                  <c:v>27</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layout/>
      <c:overlay val="false"/>
      <c:spPr>
        <a:noFill/>
        <a:ln>
          <a:noFill/>
        </a:ln>
        <a:effectLst/>
      </c:spPr>
      <c:txPr>
        <a:bodyPr rot="0" spcFirstLastPara="0" vertOverflow="ellipsis" vert="horz" wrap="square" anchor="ctr" anchorCtr="true"/>
        <a:lstStyle/>
        <a:p>
          <a:pPr>
            <a:defRPr lang="zh-CN" sz="1400" b="1" i="0" u="none" strike="noStrike" kern="1200" baseline="0">
              <a:solidFill>
                <a:schemeClr val="tx1">
                  <a:lumMod val="75000"/>
                  <a:lumOff val="25000"/>
                </a:schemeClr>
              </a:solidFill>
              <a:latin typeface="+mn-lt"/>
              <a:ea typeface="+mn-ea"/>
              <a:cs typeface="+mn-cs"/>
            </a:defRPr>
          </a:pPr>
        </a:p>
      </c:txPr>
    </c:title>
    <c:autoTitleDeleted val="false"/>
    <c:plotArea>
      <c:layout/>
      <c:barChart>
        <c:barDir val="bar"/>
        <c:grouping val="clustered"/>
        <c:varyColors val="false"/>
        <c:ser>
          <c:idx val="0"/>
          <c:order val="0"/>
          <c:tx>
            <c:strRef>
              <c:f>Sheet1!$B$1</c:f>
              <c:strCache>
                <c:ptCount val="1"/>
                <c:pt idx="0">
                  <c:v>办案数量</c:v>
                </c:pt>
              </c:strCache>
            </c:strRef>
          </c:tx>
          <c:spPr>
            <a:solidFill>
              <a:schemeClr val="accent1"/>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Sheet1!$A$2:$A$22</c:f>
              <c:strCache>
                <c:ptCount val="21"/>
                <c:pt idx="0">
                  <c:v>阜平县分局</c:v>
                </c:pt>
                <c:pt idx="1">
                  <c:v>清苑区分局</c:v>
                </c:pt>
                <c:pt idx="2">
                  <c:v>徐水区分局</c:v>
                </c:pt>
                <c:pt idx="3">
                  <c:v>易县分局</c:v>
                </c:pt>
                <c:pt idx="4">
                  <c:v>竞秀区分局</c:v>
                </c:pt>
                <c:pt idx="5">
                  <c:v>莲池区分局</c:v>
                </c:pt>
                <c:pt idx="6">
                  <c:v>定兴县分局</c:v>
                </c:pt>
                <c:pt idx="7">
                  <c:v>满城区分局</c:v>
                </c:pt>
                <c:pt idx="8">
                  <c:v>涞源县分局</c:v>
                </c:pt>
                <c:pt idx="9">
                  <c:v>高碑店市分局</c:v>
                </c:pt>
                <c:pt idx="10">
                  <c:v>蠡县分局</c:v>
                </c:pt>
                <c:pt idx="11">
                  <c:v>顺平县分局</c:v>
                </c:pt>
                <c:pt idx="12">
                  <c:v>白沟新城分局</c:v>
                </c:pt>
                <c:pt idx="13">
                  <c:v>望都县生态环境分局</c:v>
                </c:pt>
                <c:pt idx="14">
                  <c:v>安国市分局</c:v>
                </c:pt>
                <c:pt idx="15">
                  <c:v>曲阳县分局</c:v>
                </c:pt>
                <c:pt idx="16">
                  <c:v>唐县分局</c:v>
                </c:pt>
                <c:pt idx="17">
                  <c:v>涞水县分局</c:v>
                </c:pt>
                <c:pt idx="18">
                  <c:v>保定市生态环境局</c:v>
                </c:pt>
                <c:pt idx="19">
                  <c:v>博野县分局</c:v>
                </c:pt>
                <c:pt idx="20">
                  <c:v>涿州市分局</c:v>
                </c:pt>
              </c:strCache>
            </c:strRef>
          </c:cat>
          <c:val>
            <c:numRef>
              <c:f>Sheet1!$B$2:$B$22</c:f>
              <c:numCache>
                <c:formatCode>General</c:formatCode>
                <c:ptCount val="21"/>
                <c:pt idx="0">
                  <c:v>1</c:v>
                </c:pt>
                <c:pt idx="1">
                  <c:v>2</c:v>
                </c:pt>
                <c:pt idx="2">
                  <c:v>2</c:v>
                </c:pt>
                <c:pt idx="3">
                  <c:v>3</c:v>
                </c:pt>
                <c:pt idx="4">
                  <c:v>4</c:v>
                </c:pt>
                <c:pt idx="5">
                  <c:v>4</c:v>
                </c:pt>
                <c:pt idx="6">
                  <c:v>5</c:v>
                </c:pt>
                <c:pt idx="7">
                  <c:v>5</c:v>
                </c:pt>
                <c:pt idx="8">
                  <c:v>6</c:v>
                </c:pt>
                <c:pt idx="9">
                  <c:v>9</c:v>
                </c:pt>
                <c:pt idx="10">
                  <c:v>9</c:v>
                </c:pt>
                <c:pt idx="11">
                  <c:v>9</c:v>
                </c:pt>
                <c:pt idx="12">
                  <c:v>10</c:v>
                </c:pt>
                <c:pt idx="13">
                  <c:v>10</c:v>
                </c:pt>
                <c:pt idx="14">
                  <c:v>11</c:v>
                </c:pt>
                <c:pt idx="15">
                  <c:v>11</c:v>
                </c:pt>
                <c:pt idx="16">
                  <c:v>14</c:v>
                </c:pt>
                <c:pt idx="17">
                  <c:v>15</c:v>
                </c:pt>
                <c:pt idx="18">
                  <c:v>19</c:v>
                </c:pt>
                <c:pt idx="19">
                  <c:v>20</c:v>
                </c:pt>
                <c:pt idx="20">
                  <c:v>22</c:v>
                </c:pt>
              </c:numCache>
            </c:numRef>
          </c:val>
        </c:ser>
        <c:dLbls>
          <c:showLegendKey val="false"/>
          <c:showVal val="true"/>
          <c:showCatName val="false"/>
          <c:showSerName val="false"/>
          <c:showPercent val="false"/>
          <c:showBubbleSize val="false"/>
        </c:dLbls>
        <c:gapWidth val="140"/>
        <c:overlap val="-40"/>
        <c:axId val="470283651"/>
        <c:axId val="917303882"/>
      </c:barChart>
      <c:catAx>
        <c:axId val="470283651"/>
        <c:scaling>
          <c:orientation val="minMax"/>
        </c:scaling>
        <c:delete val="false"/>
        <c:axPos val="l"/>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917303882"/>
        <c:crosses val="autoZero"/>
        <c:auto val="true"/>
        <c:lblAlgn val="ctr"/>
        <c:lblOffset val="100"/>
        <c:noMultiLvlLbl val="false"/>
      </c:catAx>
      <c:valAx>
        <c:axId val="917303882"/>
        <c:scaling>
          <c:orientation val="minMax"/>
        </c:scaling>
        <c:delete val="false"/>
        <c:axPos val="b"/>
        <c:majorGridlines>
          <c:spPr>
            <a:ln w="9525" cap="flat" cmpd="sng" algn="ctr">
              <a:solidFill>
                <a:schemeClr val="lt1">
                  <a:lumMod val="90200"/>
                </a:schemeClr>
              </a:solidFill>
              <a:round/>
            </a:ln>
            <a:effectLst/>
          </c:spPr>
        </c:majorGridlines>
        <c:numFmt formatCode="General" sourceLinked="true"/>
        <c:majorTickMark val="none"/>
        <c:minorTickMark val="none"/>
        <c:tickLblPos val="nextTo"/>
        <c:spPr>
          <a:noFill/>
          <a:ln>
            <a:noFill/>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470283651"/>
        <c:crosses val="autoZero"/>
        <c:crossBetween val="between"/>
      </c:valAx>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1" i="0" u="none" strike="noStrike" kern="1200" baseline="0">
                <a:solidFill>
                  <a:schemeClr val="tx1">
                    <a:lumMod val="75000"/>
                    <a:lumOff val="25000"/>
                  </a:schemeClr>
                </a:solidFill>
                <a:latin typeface="+mn-lt"/>
                <a:ea typeface="+mn-ea"/>
                <a:cs typeface="+mn-cs"/>
              </a:defRPr>
            </a:pPr>
            <a:r>
              <a:t>处罚金额</a:t>
            </a:r>
          </a:p>
        </c:rich>
      </c:tx>
      <c:layout/>
      <c:overlay val="false"/>
      <c:spPr>
        <a:noFill/>
        <a:ln>
          <a:noFill/>
        </a:ln>
        <a:effectLst/>
      </c:spPr>
    </c:title>
    <c:autoTitleDeleted val="false"/>
    <c:plotArea>
      <c:layout/>
      <c:barChart>
        <c:barDir val="bar"/>
        <c:grouping val="clustered"/>
        <c:varyColors val="false"/>
        <c:ser>
          <c:idx val="0"/>
          <c:order val="0"/>
          <c:spPr>
            <a:solidFill>
              <a:schemeClr val="accent1"/>
            </a:solidFill>
            <a:ln>
              <a:noFill/>
            </a:ln>
            <a:effectLst/>
          </c:spPr>
          <c:invertIfNegative val="false"/>
          <c:dLbls>
            <c:spPr>
              <a:noFill/>
              <a:ln>
                <a:noFill/>
              </a:ln>
              <a:effectLst/>
            </c:spPr>
            <c:txPr>
              <a:bodyPr rot="0" spcFirstLastPara="0" vertOverflow="ellipsis" vert="horz" wrap="square" lIns="38100" tIns="19050" rIns="38100" bIns="19050" anchor="ctr" anchorCtr="true"/>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Sheet1!$A$2:$A$22</c:f>
              <c:strCache>
                <c:ptCount val="21"/>
                <c:pt idx="0">
                  <c:v>徐水区分局</c:v>
                </c:pt>
                <c:pt idx="1">
                  <c:v>易县分局</c:v>
                </c:pt>
                <c:pt idx="2">
                  <c:v>阜平县分局</c:v>
                </c:pt>
                <c:pt idx="3">
                  <c:v>清苑区分局</c:v>
                </c:pt>
                <c:pt idx="4">
                  <c:v>定兴县分局</c:v>
                </c:pt>
                <c:pt idx="5">
                  <c:v>唐县分局</c:v>
                </c:pt>
                <c:pt idx="6">
                  <c:v>满城区分局</c:v>
                </c:pt>
                <c:pt idx="7">
                  <c:v>曲阳县分局</c:v>
                </c:pt>
                <c:pt idx="8">
                  <c:v>白沟新城分局</c:v>
                </c:pt>
                <c:pt idx="9">
                  <c:v>竞秀区分局</c:v>
                </c:pt>
                <c:pt idx="10">
                  <c:v>蠡县分局</c:v>
                </c:pt>
                <c:pt idx="11">
                  <c:v>涿州市分局</c:v>
                </c:pt>
                <c:pt idx="12">
                  <c:v>安国市分局</c:v>
                </c:pt>
                <c:pt idx="13">
                  <c:v>莲池区分局</c:v>
                </c:pt>
                <c:pt idx="14">
                  <c:v>望都县分局</c:v>
                </c:pt>
                <c:pt idx="15">
                  <c:v>高碑店市分局</c:v>
                </c:pt>
                <c:pt idx="16">
                  <c:v>顺平县分局</c:v>
                </c:pt>
                <c:pt idx="17">
                  <c:v>涞水县分局</c:v>
                </c:pt>
                <c:pt idx="18">
                  <c:v>涞源县分局</c:v>
                </c:pt>
                <c:pt idx="19">
                  <c:v>博野县分局</c:v>
                </c:pt>
                <c:pt idx="20">
                  <c:v>保定市生态环境局</c:v>
                </c:pt>
              </c:strCache>
            </c:strRef>
          </c:cat>
          <c:val>
            <c:numRef>
              <c:f>Sheet1!$B$2:$B$22</c:f>
              <c:numCache>
                <c:formatCode>General</c:formatCode>
                <c:ptCount val="21"/>
                <c:pt idx="0">
                  <c:v>15000</c:v>
                </c:pt>
                <c:pt idx="1">
                  <c:v>29360.69</c:v>
                </c:pt>
                <c:pt idx="2">
                  <c:v>41233.5</c:v>
                </c:pt>
                <c:pt idx="3">
                  <c:v>120000</c:v>
                </c:pt>
                <c:pt idx="4">
                  <c:v>124432</c:v>
                </c:pt>
                <c:pt idx="5">
                  <c:v>238148</c:v>
                </c:pt>
                <c:pt idx="6">
                  <c:v>280000</c:v>
                </c:pt>
                <c:pt idx="7">
                  <c:v>341300</c:v>
                </c:pt>
                <c:pt idx="8">
                  <c:v>352000</c:v>
                </c:pt>
                <c:pt idx="9">
                  <c:v>454000</c:v>
                </c:pt>
                <c:pt idx="10">
                  <c:v>455755.94</c:v>
                </c:pt>
                <c:pt idx="11">
                  <c:v>532000</c:v>
                </c:pt>
                <c:pt idx="12">
                  <c:v>566500</c:v>
                </c:pt>
                <c:pt idx="13">
                  <c:v>612000</c:v>
                </c:pt>
                <c:pt idx="14">
                  <c:v>622600</c:v>
                </c:pt>
                <c:pt idx="15">
                  <c:v>630000</c:v>
                </c:pt>
                <c:pt idx="16">
                  <c:v>850000</c:v>
                </c:pt>
                <c:pt idx="17">
                  <c:v>864058.4</c:v>
                </c:pt>
                <c:pt idx="18">
                  <c:v>1049000</c:v>
                </c:pt>
                <c:pt idx="19">
                  <c:v>1396500</c:v>
                </c:pt>
                <c:pt idx="20">
                  <c:v>3136000</c:v>
                </c:pt>
              </c:numCache>
            </c:numRef>
          </c:val>
        </c:ser>
        <c:dLbls>
          <c:showLegendKey val="false"/>
          <c:showVal val="true"/>
          <c:showCatName val="false"/>
          <c:showSerName val="false"/>
          <c:showPercent val="false"/>
          <c:showBubbleSize val="false"/>
        </c:dLbls>
        <c:gapWidth val="140"/>
        <c:overlap val="-40"/>
        <c:axId val="873679221"/>
        <c:axId val="387734668"/>
      </c:barChart>
      <c:catAx>
        <c:axId val="873679221"/>
        <c:scaling>
          <c:orientation val="minMax"/>
        </c:scaling>
        <c:delete val="false"/>
        <c:axPos val="l"/>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387734668"/>
        <c:crosses val="autoZero"/>
        <c:auto val="true"/>
        <c:lblAlgn val="ctr"/>
        <c:lblOffset val="100"/>
        <c:noMultiLvlLbl val="false"/>
      </c:catAx>
      <c:valAx>
        <c:axId val="387734668"/>
        <c:scaling>
          <c:orientation val="minMax"/>
        </c:scaling>
        <c:delete val="false"/>
        <c:axPos val="b"/>
        <c:majorGridlines>
          <c:spPr>
            <a:ln w="9525" cap="flat" cmpd="sng" algn="ctr">
              <a:solidFill>
                <a:schemeClr val="lt1">
                  <a:lumMod val="90200"/>
                </a:schemeClr>
              </a:solidFill>
              <a:round/>
            </a:ln>
            <a:effectLst/>
          </c:spPr>
        </c:majorGridlines>
        <c:numFmt formatCode="General" sourceLinked="true"/>
        <c:majorTickMark val="none"/>
        <c:minorTickMark val="none"/>
        <c:tickLblPos val="nextTo"/>
        <c:spPr>
          <a:noFill/>
          <a:ln>
            <a:noFill/>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873679221"/>
        <c:crosses val="autoZero"/>
        <c:crossBetween val="between"/>
      </c:valAx>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118">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118">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true">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1811</Words>
  <Characters>2024</Characters>
  <Lines>0</Lines>
  <Paragraphs>0</Paragraphs>
  <TotalTime>5</TotalTime>
  <ScaleCrop>false</ScaleCrop>
  <LinksUpToDate>false</LinksUpToDate>
  <CharactersWithSpaces>2118</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2026-01-18T02:58:00Z</dcterms:created>
  <dc:creator>Breach</dc:creator>
  <cp:lastModifiedBy>work</cp:lastModifiedBy>
  <cp:lastPrinted>2026-01-23T18:02:00Z</cp:lastPrinted>
  <dcterms:modified xsi:type="dcterms:W3CDTF">2026-01-23T10:42:41Z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1CC1CB688CA442AFA31026FEA610211F_13</vt:lpwstr>
  </property>
  <property fmtid="{D5CDD505-2E9C-101B-9397-08002B2CF9AE}" pid="4" name="KSOTemplateDocerSaveRecord">
    <vt:lpwstr>eyJoZGlkIjoiMGJjOTNhNmRhZmY1OTk2OGY4NjhmNjUwODM4ZDFkZTQiLCJ1c2VySWQiOiIzNjA5MDI4NDEifQ==</vt:lpwstr>
  </property>
</Properties>
</file>