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D474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保定市生态环境局</w:t>
      </w:r>
    </w:p>
    <w:p w14:paraId="35B08F0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202</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5</w:t>
      </w:r>
      <w:r>
        <w:rPr>
          <w:rFonts w:hint="default" w:ascii="Times New Roman" w:hAnsi="Times New Roman" w:eastAsia="方正小标宋简体" w:cs="Times New Roman"/>
          <w:color w:val="000000" w:themeColor="text1"/>
          <w:sz w:val="44"/>
          <w:szCs w:val="44"/>
          <w14:textFill>
            <w14:solidFill>
              <w14:schemeClr w14:val="tx1"/>
            </w14:solidFill>
          </w14:textFill>
        </w:rPr>
        <w:t>年度法治政府建设情况报告</w:t>
      </w:r>
    </w:p>
    <w:p w14:paraId="35562C9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p>
    <w:p w14:paraId="3CA7C182">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2025年，保定市生态环境局在省生态环境厅和市委、市政府的坚强领导下，坚持以习近平新时代中国特色社会主义思想为指导，全面贯彻落实党的二十大和二十届二中、三中全会精神，深入学习贯彻习近平法治思想和习近平生态文明思想，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生态环境高水平保护、服务经济社会高质量发展</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”为结果导向，积极探索执法与服务相统一、守底线和促发展相结合，深入推进依法行政，全面建设法治政府，为美丽保定建设提供坚实法治保障。现将全年工作情况汇报如下：</w:t>
      </w:r>
    </w:p>
    <w:p w14:paraId="521A2A7E">
      <w:pPr>
        <w:keepNext w:val="0"/>
        <w:keepLines w:val="0"/>
        <w:pageBreakBefore w:val="0"/>
        <w:widowControl w:val="0"/>
        <w:numPr>
          <w:ilvl w:val="0"/>
          <w:numId w:val="1"/>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0" w:firstLineChars="200"/>
        <w:textAlignment w:val="auto"/>
        <w:outlineLvl w:val="9"/>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深入学习宣传贯彻落实习近平法治思想，全面履行推进法治建设第一责任人</w:t>
      </w:r>
    </w:p>
    <w:p w14:paraId="17632742">
      <w:pPr>
        <w:keepNext w:val="0"/>
        <w:keepLines w:val="0"/>
        <w:pageBreakBefore w:val="0"/>
        <w:widowControl w:val="0"/>
        <w:numPr>
          <w:ilvl w:val="0"/>
          <w:numId w:val="2"/>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3" w:firstLineChars="200"/>
        <w:textAlignment w:val="auto"/>
        <w:outlineLvl w:val="9"/>
        <w:rPr>
          <w:rFonts w:hint="default" w:ascii="Times New Roman" w:hAnsi="Times New Roman" w:eastAsia="仿宋" w:cs="Times New Roman"/>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深入学习习近平法治思想。</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始终坚持以把学习党的二十大</w:t>
      </w:r>
      <w:r>
        <w:rPr>
          <w:rFonts w:hint="eastAsia"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和</w:t>
      </w:r>
      <w:bookmarkStart w:id="0" w:name="_GoBack"/>
      <w:bookmarkEnd w:id="0"/>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二十届二中全会精神与省委、市委重要会议精神紧密结合，融入现代化品质生活之城建设实践，推动学思用贯通、知信行统一。建立党组理论学习中心组学习习近平法治思想常态化机制，召开1次中心组学习研讨会，将习近平法治思想纳入局党组理论学习中心组年度学习计划，组织专题学习研讨，推动领导干部带头学习宣讲、模范践行习近平法治思想。利用民法典宣传月、六五环境日等重要时间点，开展习近平法治思想学习宣传。</w:t>
      </w:r>
    </w:p>
    <w:p w14:paraId="4AE4D3AC">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3" w:firstLineChars="200"/>
        <w:textAlignment w:val="auto"/>
        <w:outlineLvl w:val="9"/>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（二）全面履行推进法治政府建设第一责任人职责。</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局主要领导带头尊崇法治、学习法律、厉行法治、依法办事、遵纪守法，严格履行党政主要负责人推进法治建设第一责任，做到重要工作亲自部署、重大问题亲自过问、重要环节亲自协调，聚焦加强和创新生态环境法治，谋划制定年度法治建设工作重点任务，并纳入局工作要点，切实做到与生态环境保护工作同部署、同安排、同推进。</w:t>
      </w:r>
    </w:p>
    <w:p w14:paraId="5C864F28">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3" w:firstLineChars="200"/>
        <w:textAlignment w:val="auto"/>
        <w:outlineLvl w:val="9"/>
        <w:rPr>
          <w:rFonts w:hint="default" w:ascii="Times New Roman" w:hAnsi="Times New Roman" w:eastAsia="仿宋" w:cs="Times New Roman"/>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（三）常态化抓好领导干部学法培训教育。</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把习近平法治思想纳入党员教育体系、干部教育体系，完善定期学法制强化法治教育，全面提升干部职工行政执法水平。2025年，我局分层分类组织干部职工参加法律法规培训10余次；开展行政处罚法、案卷评查等专题讲座、培训；同时，组织法律法规专题培训，确保每人每年接受不少于60学时的业务知识和法律法规培训。累计参训人数2000余人次，有效提升了干部队伍的运用法治思维和法治方式深化改革、推动发展、化解矛盾、维护稳定的能力。</w:t>
      </w:r>
    </w:p>
    <w:p w14:paraId="6D429EE9">
      <w:pPr>
        <w:keepNext w:val="0"/>
        <w:keepLines w:val="0"/>
        <w:pageBreakBefore w:val="0"/>
        <w:widowControl w:val="0"/>
        <w:numPr>
          <w:ilvl w:val="0"/>
          <w:numId w:val="1"/>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全面提高依法行政能力，为生态文明建设提供坚强法治保障</w:t>
      </w:r>
    </w:p>
    <w:p w14:paraId="43C06523">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3" w:firstLineChars="200"/>
        <w:textAlignment w:val="auto"/>
        <w:outlineLvl w:val="9"/>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（一）完善省级生态环境保护法规标准体系。</w:t>
      </w:r>
    </w:p>
    <w:p w14:paraId="42FDBB2E">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一是完善生态环境保护地方立法。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推动《大气污染防治法》《水污染防治法》《土壤污染防治法》等法律法规落地实施，启动全省首部《保定市生物多样性保护条例》立法工作。</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二是积极推进地方生态环境标准制修订工作。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成功入选2024年国家环境健康管理试点，加快推动全国首个《居住环境全流程环境健康管理技术规范》地方标准制定工作。</w:t>
      </w:r>
    </w:p>
    <w:p w14:paraId="53DDFAD0">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3" w:firstLineChars="200"/>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（二）推进行政决策科学化、民主化、法治化。</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一是</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在生态环境领域政策文件制定、重大决策、重大行政执法决定出台过程中，严格遵循“三重一大”集体决策制度，确保依法决策、依法行政、依法管理，保障决策的科学性与合法性</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加强规范性文件合法性审查，严格落实规范性文件实行统一登记、统一编号、统一印发制度，严格执行评估论证、公开征求意见、合法性审查、集体审议决定、向社会公开发布、政策解读等制定程序。</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三是</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做好信息公开，认真落实行政执法“三项制度”。</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我局官网行政执法公示专栏，将行政执法信息从事前、事中、事后三个环节主动向社会公示，充分保障行政相对人和社会公众的知情权和监督权。四是注重发挥政府法律顾问、公职律师等作用，精准建言献策，为优化法治营商环境，助力生态环境高水平保护提供优质保障。不断充实公职律师队伍，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16名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公职人员申请公职律师资格</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聘用律师事务所6名律师担任常年法律顾问，</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在立法草案起草、重大决策制定、规范性文件审查、政府采购等方面提供法律意见、参加法制审核，有效防范行政管理法律风险</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，对具体行政行为提出法律意见。2025年共计出具合法性审查意见35份。</w:t>
      </w:r>
    </w:p>
    <w:p w14:paraId="5E3D9E9B">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（三）规范行政证件管理，增强行政执法人员力量</w:t>
      </w:r>
    </w:p>
    <w:p w14:paraId="49714A9B">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beforeAutospacing="0" w:afterAutospacing="0" w:line="560" w:lineRule="exact"/>
        <w:ind w:firstLine="643" w:firstLineChars="200"/>
        <w:textAlignment w:val="auto"/>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一是增加分局执法人员数量。</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积极推进</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314</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名符合执法证申领事业单位工勤岗人员完成转岗，沟通盯办司法部门加快为已符合申领执法证条件的事业单位管理岗及专技岗工勤人员完成执法证件申领审批，截至目前已全部完成。</w:t>
      </w: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二是增加跨区域执法人员力量。</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通过台账式管理，明确各批次注销以及新申领证件的人员名单及时间节点，统筹全系统执法检查、法制审核、执法监督人员力量</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,截至目前，已完成71名市级执法证申领工作。</w:t>
      </w:r>
    </w:p>
    <w:p w14:paraId="193EE8A3">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三、严格规范行政执法行为，提升监管效能与温度</w:t>
      </w:r>
    </w:p>
    <w:p w14:paraId="05018D25">
      <w:pPr>
        <w:keepNext w:val="0"/>
        <w:keepLines w:val="0"/>
        <w:pageBreakBefore w:val="0"/>
        <w:kinsoku/>
        <w:wordWrap/>
        <w:overflowPunct/>
        <w:topLinePunct w:val="0"/>
        <w:autoSpaceDE/>
        <w:autoSpaceDN/>
        <w:bidi w:val="0"/>
        <w:adjustRightInd/>
        <w:snapToGrid/>
        <w:spacing w:line="560" w:lineRule="exact"/>
        <w:ind w:left="0" w:leftChars="0" w:firstLine="640" w:firstLineChars="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严格规范生态环境公正文明执法，优化执法方式，提升执法质效。</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坚持依法执法。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强化对大气、水、危废等重点领域环境违法行为和重点排污单位自动监测数据弄虚作假违法犯罪打击力度。</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2025年，全市检查发现违法问题956个，立案处罚112件，罚款金额360.475万元；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对轻微违法严格落实免罚政策，按照“一次帮扶、两次督导、三次严惩”的原则给予企业适度容错纠错空间,</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2025年，</w:t>
      </w:r>
      <w:r>
        <w:rPr>
          <w:rFonts w:hint="default" w:ascii="Times New Roman" w:hAnsi="Times New Roman" w:eastAsia="仿宋_GB2312" w:cs="Times New Roman"/>
          <w:b w:val="0"/>
          <w:bCs w:val="0"/>
          <w:i w:val="0"/>
          <w:iCs w:val="0"/>
          <w:smallCaps w:val="0"/>
          <w:strike w:val="0"/>
          <w:color w:val="000000" w:themeColor="text1"/>
          <w:spacing w:val="0"/>
          <w:w w:val="100"/>
          <w:position w:val="0"/>
          <w:sz w:val="32"/>
          <w:szCs w:val="32"/>
          <w:u w:val="none"/>
          <w:shd w:val="clear" w:color="auto" w:fill="auto"/>
          <w:lang w:val="en-US" w:eastAsia="zh-CN" w:bidi="zh-CN"/>
          <w14:textFill>
            <w14:solidFill>
              <w14:schemeClr w14:val="tx1"/>
            </w14:solidFill>
          </w14:textFill>
        </w:rPr>
        <w:t>全市免罚案件27件，免罚金额383.05万元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坚持精准执法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。通过在线监测、视频监控、分表计电、遥感监测等非现场执法监管手段应用，精准远程锁定问题线索和证据链，精准溯源追踪查处违法行为，构建“无扰式”“溯源式”“智能式”生态环境精准执法模式。</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坚持规范执法。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组织开展规范涉企行政检查专项行动，结合排污许可类型、大气绩效评级、信用等级、正面清单等因素，对全市检查对象实行分级分类监管，对正面清单内的企业，原则上以非现场方式开展执法检查。如需入企检查严格执行“事前审批、扫码登记、亮证执法、服务评价”四步流程，确保全过程执法留痕，全过程接受企业监督，有效降低入企频次的同时提高监管效率。5月1日至10月15日，市、县两级生态环境局部门共开展入企行政检查2680家次，其中现场检查1908家次，较去年同期的入企检查总频次减少了6804家次，其中入企现场检查频次减少了6641家次，极大减少了对企业不必要的打扰。</w:t>
      </w:r>
    </w:p>
    <w:p w14:paraId="542630CD">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beforeAutospacing="0" w:afterAutospacing="0" w:line="560" w:lineRule="exact"/>
        <w:ind w:firstLine="643"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四是监督性执法。</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为着力解决行政执法领域突出问题，切实发挥行政执法监督对行政执法工作的统筹协调、规范管理、指导监督、激励保障作用，</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采取自查自评、分组抽查相结合的方式对分局实施行政监督检查，截至目前，已完成6个分局的行政监督检查，</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促进了全市系统行政执法规范化标准化水平提升，树立了生态环境队伍良好形象。</w:t>
      </w:r>
    </w:p>
    <w:p w14:paraId="5062007A">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四、创新开展法治宣传教育，引导企业由被动违法向主动守法转变</w:t>
      </w:r>
    </w:p>
    <w:p w14:paraId="5363DF88">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3" w:firstLineChars="200"/>
        <w:jc w:val="both"/>
        <w:textAlignment w:val="auto"/>
        <w:outlineLvl w:val="9"/>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bidi="ar"/>
          <w14:textFill>
            <w14:solidFill>
              <w14:schemeClr w14:val="tx1"/>
            </w14:solidFill>
          </w14:textFill>
        </w:rPr>
        <w:t>一是强化主动服务意识，率先在全省打造行业守法交流示范基地群</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以</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集中、定向、精准、有效、服务</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为导向，从14个重点行业中精选守法标杆企业打</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造行业守法交流示范基地群</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，创新构建</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观摩+交流+警示</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三位一体教育体系，开展系列守法合规教育交流活动。这种</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教育先行+服务兜底</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的新机制，既降低了重复检查频次，又通过提升企业内生管理能力，使环境违法率同比下降，形成可复制的生态环境预防式监管</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保定经验</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截至目前，全市已建设完成14个行业守法交流示范基地，开展垃圾焚烧行业、水处理行业等10次守法合规交流教育活动。</w:t>
      </w:r>
      <w:r>
        <w:rPr>
          <w:rFonts w:hint="default" w:ascii="Times New Roman" w:hAnsi="Times New Roman" w:eastAsia="仿宋_GB2312" w:cs="Times New Roman"/>
          <w:b w:val="0"/>
          <w:bCs/>
          <w:sz w:val="32"/>
          <w:szCs w:val="32"/>
          <w:lang w:val="en-US" w:eastAsia="zh-CN"/>
        </w:rPr>
        <w:t>该基地先后于2025年6月和8月，获得“第六期河北省规范涉企行政执法专项行动工作信息”与“河北省生态环境厅2025年生态环境普法宣传经验做法”的刊载推广。</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二</w:t>
      </w:r>
      <w:r>
        <w:rPr>
          <w:rFonts w:hint="default" w:ascii="Times New Roman" w:hAnsi="Times New Roman" w:eastAsia="仿宋_GB2312" w:cs="Times New Roman"/>
          <w:b/>
          <w:bCs/>
          <w:color w:val="000000" w:themeColor="text1"/>
          <w:kern w:val="0"/>
          <w:sz w:val="32"/>
          <w:szCs w:val="32"/>
          <w:lang w:val="en-US" w:eastAsia="zh-CN" w:bidi="ar"/>
          <w14:textFill>
            <w14:solidFill>
              <w14:schemeClr w14:val="tx1"/>
            </w14:solidFill>
          </w14:textFill>
        </w:rPr>
        <w:t>是创新"菜单式+点菜式”普法模式，成立保定市生态环境局法治宣讲团。</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宣讲团成员由市局科室业务骨干、执法人才库、局法律顾问组成，围绕各行业所涉及生态环境保护法律法规、管理要求及违法典型案例、生态环境惠企政策等主题，为企业、公众以及全系统人员提供“个性化”“菜单式”</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定制课程包</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开发“菜单式”培训模块15个，企业普法覆盖率提升至100%。</w:t>
      </w:r>
      <w:r>
        <w:rPr>
          <w:rFonts w:hint="default" w:ascii="Times New Roman" w:hAnsi="Times New Roman" w:eastAsia="仿宋_GB2312" w:cs="Times New Roman"/>
          <w:b/>
          <w:bCs/>
          <w:i w:val="0"/>
          <w:iCs w:val="0"/>
          <w:caps w:val="0"/>
          <w:color w:val="000000" w:themeColor="text1"/>
          <w:spacing w:val="0"/>
          <w:kern w:val="0"/>
          <w:sz w:val="32"/>
          <w:szCs w:val="32"/>
          <w:shd w:val="clear" w:color="auto" w:fill="FFFFFF"/>
          <w:lang w:val="en-US" w:eastAsia="zh-CN" w:bidi="ar"/>
          <w14:textFill>
            <w14:solidFill>
              <w14:schemeClr w14:val="tx1"/>
            </w14:solidFill>
          </w14:textFill>
        </w:rPr>
        <w:t>三是加强政策法规培训指导服务企业绿色发展。</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利用工作群、日常巡查等方式对执法人员和企业推广“河北省生态环境政策法规库（试用）”平台，</w:t>
      </w:r>
      <w:r>
        <w:rPr>
          <w:rFonts w:hint="default" w:ascii="Times New Roman" w:hAnsi="Times New Roman" w:eastAsia="仿宋_GB2312" w:cs="Times New Roman"/>
          <w:color w:val="000000" w:themeColor="text1"/>
          <w:sz w:val="32"/>
          <w:szCs w:val="32"/>
          <w14:textFill>
            <w14:solidFill>
              <w14:schemeClr w14:val="tx1"/>
            </w14:solidFill>
          </w14:textFill>
        </w:rPr>
        <w:t>利用环境日、宪法日等重要时间节点，加强对企业的政策法规宣传和培训指导，引导企业家增强法治观念。帮助企业对照常见检查项目开展自查自纠</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有针对性地复查、帮扶，在“小问题”变成“大麻烦”之前，提前介入指导、提出合理化建议，帮助企业解决顽固性问题，助力企业绿色发展。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ab/>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截止目前，已指导帮扶企业100余家，提升了企业合规经营的能力，优化了政企沟通协作机制，推动了企业绿色转型发展，营造了良好的营商环境。</w:t>
      </w:r>
    </w:p>
    <w:p w14:paraId="63C805CD">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五、强化法治惠企理念，依法推动经济社会高质量发展</w:t>
      </w:r>
    </w:p>
    <w:p w14:paraId="534FF88F">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将主动服务打造成生态环境系统突出特征，谋划实施了20个主动服务高质量发展应用场景，全力支撑保障经济社会高质量发展。一是以契合产业发展为方向，谋划创建7个国家级试点。环评分类管理试点为我市汽车制造、纺织印染等7个行业实行环评豁免。减污降碳协同创新试点推动高阳、蠡县纺织印染行业低碳转型，助力企业降本增效。国家环境健康管理试点起草制定《居住环境全流程环境健康管理技术规范》地方标准，与超低能耗建筑产业紧密结合。创建全省首个气候友好型企业融资对接平台，贷款余额314.6亿元。二是梯次推进重点行业环保绩效创A，提高企业绿色发展竞争力。“一企一策”稳步推进重点行业创A，坚持结构调整和工程减排，完成8家重点行业企业环保绩效创A、62家企业环保绩效提升，全市新能源重型货车保有量1437辆，其中氢能561辆，电动876辆；三是</w:t>
      </w:r>
      <w:r>
        <w:rPr>
          <w:rFonts w:hint="default" w:ascii="Times New Roman" w:hAnsi="Times New Roman" w:eastAsia="仿宋_GB2312" w:cs="Times New Roman"/>
          <w:b w:val="0"/>
          <w:bCs w:val="0"/>
          <w:kern w:val="2"/>
          <w:sz w:val="32"/>
          <w:szCs w:val="32"/>
          <w:lang w:val="en-US" w:eastAsia="zh-CN" w:bidi="ar-SA"/>
        </w:rPr>
        <w:t>持续推进生态环境信用信息初评和动态调整。目前，我市列入重点排污企业862家，2025年新增初评9家企业，并为38家企业进行了动态调整。同时我局</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创新开展生态环境信用线上修复，为改正违法行为企业减负增信搭建全省首个生态环境信用修复平台，大幅压减申报材料，审批时限压缩至8个工作日，实现生态环境信用修复“一口受理、流程优化、全程网办”。截至目前，已成功帮助402家企业完成多个平台信用修复，被评为保定市2024年度“法治为民办实事”优秀项目。</w:t>
      </w:r>
    </w:p>
    <w:p w14:paraId="4CC9B67D">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六、当前存在的问题及下一步工作</w:t>
      </w:r>
    </w:p>
    <w:p w14:paraId="11F6EB5B">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14:textFill>
            <w14:solidFill>
              <w14:schemeClr w14:val="tx1"/>
            </w14:solidFill>
          </w14:textFill>
        </w:rPr>
        <w:t>当前，随着</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机构的职责日益增加，</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工作已扩展到行政管理的各个领域，这就对</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工作人员的素质提出了更高的要求，要求</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工作人员既要掌握法学理论知识和环保法律规定，又要熟悉环境政策和行政管理制度</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宣传教育的针对性和时效性有待加强，法治工作人员和社会公众的生态环境意识还需要进一步提高；法规体系与地方实践的衔接有待加强，部分生态环境领域的地方性法规、规章对保定本地环境特点的适应性不够。</w:t>
      </w:r>
    </w:p>
    <w:p w14:paraId="601A5F20">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000000" w:themeColor="text1"/>
          <w:sz w:val="32"/>
          <w:szCs w:val="32"/>
          <w:shd w:val="clear" w:color="auto" w:fill="FFFFFF"/>
          <w:lang w:eastAsia="zh-CN" w:bidi="ar"/>
          <w14:textFill>
            <w14:solidFill>
              <w14:schemeClr w14:val="tx1"/>
            </w14:solidFill>
          </w14:textFill>
        </w:rPr>
      </w:pPr>
      <w:r>
        <w:rPr>
          <w:rFonts w:hint="default" w:ascii="Times New Roman" w:hAnsi="Times New Roman" w:eastAsia="仿宋_GB2312" w:cs="Times New Roman"/>
          <w:b w:val="0"/>
          <w:bCs w:val="0"/>
          <w:color w:val="000000" w:themeColor="text1"/>
          <w:sz w:val="32"/>
          <w:szCs w:val="32"/>
          <w:shd w:val="clear" w:color="auto" w:fill="FFFFFF"/>
          <w:lang w:eastAsia="zh-CN" w:bidi="ar"/>
          <w14:textFill>
            <w14:solidFill>
              <w14:schemeClr w14:val="tx1"/>
            </w14:solidFill>
          </w14:textFill>
        </w:rPr>
        <w:t>下一步，我局将全面提升法制人员专业素养，制定系统培训计划，定期组织法制人员参加业务培训、学术研讨和案例分析会；加强信用修复惠企政策宣传，及时办理企业信用修复申请；继续组织其余行业守法交流交流示范基地，开展行业守法合规交流教育活动，加强对企业的政策指导和技术帮扶，助力企业提升环境管理水平，推动全市绿色低碳高质量发展。</w:t>
      </w:r>
    </w:p>
    <w:p w14:paraId="4FD535B7">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14:paraId="77E95F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p>
    <w:p w14:paraId="31D156FB">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14:paraId="72848CCD">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保定市生态环境局</w:t>
      </w:r>
    </w:p>
    <w:p w14:paraId="64B5F92D">
      <w:pPr>
        <w:pStyle w:val="6"/>
        <w:keepNext w:val="0"/>
        <w:keepLines w:val="0"/>
        <w:pageBreakBefore w:val="0"/>
        <w:widowControl w:val="0"/>
        <w:kinsoku/>
        <w:wordWrap/>
        <w:overflowPunct/>
        <w:topLinePunct w:val="0"/>
        <w:autoSpaceDE/>
        <w:autoSpaceDN/>
        <w:bidi w:val="0"/>
        <w:spacing w:line="560" w:lineRule="exact"/>
        <w:ind w:firstLine="4160" w:firstLineChars="13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2025年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月15日</w:t>
      </w:r>
    </w:p>
    <w:p w14:paraId="57A843E2">
      <w:pPr>
        <w:pStyle w:val="7"/>
        <w:keepNext w:val="0"/>
        <w:keepLines w:val="0"/>
        <w:pageBreakBefore w:val="0"/>
        <w:widowControl w:val="0"/>
        <w:kinsoku/>
        <w:wordWrap/>
        <w:overflowPunct/>
        <w:topLinePunct w:val="0"/>
        <w:autoSpaceDE/>
        <w:autoSpaceDN/>
        <w:bidi w:val="0"/>
        <w:spacing w:line="560" w:lineRule="exact"/>
        <w:rPr>
          <w:rFonts w:hint="default" w:ascii="Times New Roman" w:hAnsi="Times New Roman" w:eastAsia="仿宋_GB2312" w:cs="Times New Roman"/>
          <w:color w:val="000000" w:themeColor="text1"/>
          <w:lang w:val="en-US" w:eastAsia="zh-CN"/>
          <w14:textFill>
            <w14:solidFill>
              <w14:schemeClr w14:val="tx1"/>
            </w14:solidFill>
          </w14:textFill>
        </w:rPr>
      </w:pPr>
    </w:p>
    <w:p w14:paraId="0711B886">
      <w:pPr>
        <w:pStyle w:val="17"/>
        <w:keepNext w:val="0"/>
        <w:keepLines w:val="0"/>
        <w:pageBreakBefore w:val="0"/>
        <w:widowControl w:val="0"/>
        <w:kinsoku/>
        <w:wordWrap/>
        <w:overflowPunct/>
        <w:topLinePunct w:val="0"/>
        <w:autoSpaceDE/>
        <w:autoSpaceDN/>
        <w:bidi w:val="0"/>
        <w:spacing w:line="560" w:lineRule="exact"/>
        <w:rPr>
          <w:rFonts w:hint="default" w:ascii="Times New Roman" w:hAnsi="Times New Roman" w:cs="Times New Roman"/>
          <w:color w:val="000000" w:themeColor="text1"/>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altName w:val="Arial Unicode MS"/>
    <w:panose1 w:val="02000000000000000000"/>
    <w:charset w:val="86"/>
    <w:family w:val="auto"/>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B259B5"/>
    <w:multiLevelType w:val="singleLevel"/>
    <w:tmpl w:val="CBB259B5"/>
    <w:lvl w:ilvl="0" w:tentative="0">
      <w:start w:val="1"/>
      <w:numFmt w:val="chineseCounting"/>
      <w:suff w:val="nothing"/>
      <w:lvlText w:val="（%1）"/>
      <w:lvlJc w:val="left"/>
      <w:rPr>
        <w:rFonts w:hint="eastAsia" w:ascii="楷体" w:hAnsi="楷体" w:eastAsia="楷体" w:cs="楷体"/>
      </w:rPr>
    </w:lvl>
  </w:abstractNum>
  <w:abstractNum w:abstractNumId="1">
    <w:nsid w:val="6065422E"/>
    <w:multiLevelType w:val="singleLevel"/>
    <w:tmpl w:val="6065422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zN2I1NTc3MzIyOGFjZmU0ZDY1M2RhNzMzYzU4MDcifQ=="/>
  </w:docVars>
  <w:rsids>
    <w:rsidRoot w:val="64B3093D"/>
    <w:rsid w:val="04DB34C4"/>
    <w:rsid w:val="08744BDF"/>
    <w:rsid w:val="0F37548E"/>
    <w:rsid w:val="0FCFF868"/>
    <w:rsid w:val="0FDE2763"/>
    <w:rsid w:val="0FFF91DB"/>
    <w:rsid w:val="13F69398"/>
    <w:rsid w:val="17FF2BAA"/>
    <w:rsid w:val="1A86603D"/>
    <w:rsid w:val="1AE14356"/>
    <w:rsid w:val="1DD44220"/>
    <w:rsid w:val="1E69162B"/>
    <w:rsid w:val="1F319A6C"/>
    <w:rsid w:val="1F46255F"/>
    <w:rsid w:val="1F6EB608"/>
    <w:rsid w:val="1F7E14BD"/>
    <w:rsid w:val="27BC9CAD"/>
    <w:rsid w:val="2AE21E00"/>
    <w:rsid w:val="2C978A48"/>
    <w:rsid w:val="2D752F58"/>
    <w:rsid w:val="2F3F9137"/>
    <w:rsid w:val="2F73E64D"/>
    <w:rsid w:val="31AE5668"/>
    <w:rsid w:val="327B51B8"/>
    <w:rsid w:val="35FBFE24"/>
    <w:rsid w:val="3BBFF922"/>
    <w:rsid w:val="3C9F37DA"/>
    <w:rsid w:val="3DCEC9F1"/>
    <w:rsid w:val="3DD703FF"/>
    <w:rsid w:val="3EBB1409"/>
    <w:rsid w:val="3FE9EF67"/>
    <w:rsid w:val="3FFF3ACB"/>
    <w:rsid w:val="400A654E"/>
    <w:rsid w:val="40491ED2"/>
    <w:rsid w:val="45BC4CBB"/>
    <w:rsid w:val="499E73A9"/>
    <w:rsid w:val="4FE3685B"/>
    <w:rsid w:val="4FEFC034"/>
    <w:rsid w:val="52FF4116"/>
    <w:rsid w:val="56AE669F"/>
    <w:rsid w:val="577BF8CF"/>
    <w:rsid w:val="5BBE3AB5"/>
    <w:rsid w:val="5DBE013B"/>
    <w:rsid w:val="5FEFA3F0"/>
    <w:rsid w:val="622A6D21"/>
    <w:rsid w:val="62EBC383"/>
    <w:rsid w:val="637B9902"/>
    <w:rsid w:val="63C82F8A"/>
    <w:rsid w:val="64B3093D"/>
    <w:rsid w:val="677D9052"/>
    <w:rsid w:val="67FF2C8B"/>
    <w:rsid w:val="67FFDC01"/>
    <w:rsid w:val="690503D6"/>
    <w:rsid w:val="6D43CC60"/>
    <w:rsid w:val="6E7CB5E8"/>
    <w:rsid w:val="6ED594E7"/>
    <w:rsid w:val="6EEA3D7E"/>
    <w:rsid w:val="6FBCE75E"/>
    <w:rsid w:val="6FDED02D"/>
    <w:rsid w:val="6FE1F8B6"/>
    <w:rsid w:val="6FFB0C59"/>
    <w:rsid w:val="6FFF0C89"/>
    <w:rsid w:val="741915E0"/>
    <w:rsid w:val="759F64EB"/>
    <w:rsid w:val="75FBE85D"/>
    <w:rsid w:val="772F4F5D"/>
    <w:rsid w:val="77E35E7C"/>
    <w:rsid w:val="77EFB909"/>
    <w:rsid w:val="797FF1FD"/>
    <w:rsid w:val="79FF6EE7"/>
    <w:rsid w:val="79FFD776"/>
    <w:rsid w:val="7AF22F70"/>
    <w:rsid w:val="7BC4E0F6"/>
    <w:rsid w:val="7DBBAE16"/>
    <w:rsid w:val="7DCD6073"/>
    <w:rsid w:val="7DEEA77F"/>
    <w:rsid w:val="7EBE3477"/>
    <w:rsid w:val="7EE7FB5C"/>
    <w:rsid w:val="7EF7B90D"/>
    <w:rsid w:val="7EFDA2C0"/>
    <w:rsid w:val="7F1FA3AC"/>
    <w:rsid w:val="7F3DF870"/>
    <w:rsid w:val="7F9C26CD"/>
    <w:rsid w:val="7FDD8B8B"/>
    <w:rsid w:val="7FED9911"/>
    <w:rsid w:val="7FF4B509"/>
    <w:rsid w:val="7FFE65AA"/>
    <w:rsid w:val="7FFEA06F"/>
    <w:rsid w:val="7FFFF041"/>
    <w:rsid w:val="97CF49AE"/>
    <w:rsid w:val="97DF40D1"/>
    <w:rsid w:val="98F5693E"/>
    <w:rsid w:val="9C3F04BB"/>
    <w:rsid w:val="9DDE404E"/>
    <w:rsid w:val="9DEF21EB"/>
    <w:rsid w:val="9FBF61BC"/>
    <w:rsid w:val="A69C0EE1"/>
    <w:rsid w:val="B1FA4084"/>
    <w:rsid w:val="B2BF6C90"/>
    <w:rsid w:val="B77E82A3"/>
    <w:rsid w:val="B7F619C6"/>
    <w:rsid w:val="BBA76E21"/>
    <w:rsid w:val="BD733388"/>
    <w:rsid w:val="BDFDE89A"/>
    <w:rsid w:val="BE7FE71F"/>
    <w:rsid w:val="BEFD30D0"/>
    <w:rsid w:val="BFB71922"/>
    <w:rsid w:val="BFCF3005"/>
    <w:rsid w:val="BFEF5635"/>
    <w:rsid w:val="BFFB92AE"/>
    <w:rsid w:val="C5BBF031"/>
    <w:rsid w:val="C7AF600B"/>
    <w:rsid w:val="CFBFA9ED"/>
    <w:rsid w:val="D92F65DF"/>
    <w:rsid w:val="DB7FD18B"/>
    <w:rsid w:val="DBFD8AC6"/>
    <w:rsid w:val="DD9B38B8"/>
    <w:rsid w:val="DDFB3ADE"/>
    <w:rsid w:val="DE35829D"/>
    <w:rsid w:val="DEF9FAEE"/>
    <w:rsid w:val="DF5F0E2F"/>
    <w:rsid w:val="DF8F0724"/>
    <w:rsid w:val="DFCB2954"/>
    <w:rsid w:val="DFF62BDF"/>
    <w:rsid w:val="DFFD845C"/>
    <w:rsid w:val="DFFFB6B6"/>
    <w:rsid w:val="E1DE4E97"/>
    <w:rsid w:val="E1ED3444"/>
    <w:rsid w:val="E2DECA32"/>
    <w:rsid w:val="E37A2658"/>
    <w:rsid w:val="E3DC4FAF"/>
    <w:rsid w:val="E5ED5B94"/>
    <w:rsid w:val="E7FD3E53"/>
    <w:rsid w:val="E7FF3490"/>
    <w:rsid w:val="EB5FB095"/>
    <w:rsid w:val="EBDF18B8"/>
    <w:rsid w:val="EBFFD4CF"/>
    <w:rsid w:val="ED7D0933"/>
    <w:rsid w:val="EDB9D392"/>
    <w:rsid w:val="EDFAA788"/>
    <w:rsid w:val="EE5F04B9"/>
    <w:rsid w:val="EF970165"/>
    <w:rsid w:val="EFDD6FB6"/>
    <w:rsid w:val="EFFD998F"/>
    <w:rsid w:val="F06D8FF1"/>
    <w:rsid w:val="F359F8CB"/>
    <w:rsid w:val="F3ED3A58"/>
    <w:rsid w:val="F4A7C83E"/>
    <w:rsid w:val="F5DF142F"/>
    <w:rsid w:val="F5FBBB76"/>
    <w:rsid w:val="F5FBF791"/>
    <w:rsid w:val="F6FE53A0"/>
    <w:rsid w:val="F73F3412"/>
    <w:rsid w:val="F73FBB79"/>
    <w:rsid w:val="F77F9F60"/>
    <w:rsid w:val="F79AEFE0"/>
    <w:rsid w:val="F7FEC509"/>
    <w:rsid w:val="F953CD8C"/>
    <w:rsid w:val="F9F73C88"/>
    <w:rsid w:val="FAEE09B6"/>
    <w:rsid w:val="FAFFEEC4"/>
    <w:rsid w:val="FB28D938"/>
    <w:rsid w:val="FB5F9A9F"/>
    <w:rsid w:val="FB7FF382"/>
    <w:rsid w:val="FBBBA817"/>
    <w:rsid w:val="FBF73084"/>
    <w:rsid w:val="FBFE76D9"/>
    <w:rsid w:val="FC2FD455"/>
    <w:rsid w:val="FCFF562A"/>
    <w:rsid w:val="FCFFAF28"/>
    <w:rsid w:val="FDAD682C"/>
    <w:rsid w:val="FDED632C"/>
    <w:rsid w:val="FE7D848B"/>
    <w:rsid w:val="FEDF656D"/>
    <w:rsid w:val="FF3DBBEB"/>
    <w:rsid w:val="FF6A532E"/>
    <w:rsid w:val="FF8F9D80"/>
    <w:rsid w:val="FFAF64CD"/>
    <w:rsid w:val="FFBBBE6F"/>
    <w:rsid w:val="FFBF02B5"/>
    <w:rsid w:val="FFF71329"/>
    <w:rsid w:val="FFF76A07"/>
    <w:rsid w:val="FFF7B0FE"/>
    <w:rsid w:val="FFF9EEAD"/>
    <w:rsid w:val="FFFB545B"/>
    <w:rsid w:val="FFFF0D52"/>
    <w:rsid w:val="FFFF290A"/>
    <w:rsid w:val="FFFF4275"/>
    <w:rsid w:val="FFFF5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style>
  <w:style w:type="paragraph" w:styleId="5">
    <w:name w:val="index 5"/>
    <w:basedOn w:val="1"/>
    <w:next w:val="1"/>
    <w:qFormat/>
    <w:uiPriority w:val="0"/>
    <w:pPr>
      <w:ind w:left="800" w:leftChars="800"/>
    </w:pPr>
    <w:rPr>
      <w:rFonts w:ascii="Times New Roman" w:hAnsi="Times New Roman"/>
    </w:rPr>
  </w:style>
  <w:style w:type="paragraph" w:styleId="6">
    <w:name w:val="Body Text"/>
    <w:basedOn w:val="1"/>
    <w:next w:val="7"/>
    <w:qFormat/>
    <w:uiPriority w:val="0"/>
  </w:style>
  <w:style w:type="paragraph" w:customStyle="1" w:styleId="7">
    <w:name w:val="正文部分 Char Char Char"/>
    <w:basedOn w:val="6"/>
    <w:next w:val="8"/>
    <w:qFormat/>
    <w:uiPriority w:val="99"/>
    <w:pPr>
      <w:adjustRightInd w:val="0"/>
      <w:spacing w:line="460" w:lineRule="exact"/>
      <w:textAlignment w:val="baseline"/>
    </w:pPr>
    <w:rPr>
      <w:sz w:val="24"/>
    </w:rPr>
  </w:style>
  <w:style w:type="paragraph" w:customStyle="1" w:styleId="8">
    <w:name w:val="章标题"/>
    <w:basedOn w:val="9"/>
    <w:qFormat/>
    <w:uiPriority w:val="99"/>
    <w:pPr>
      <w:spacing w:line="360" w:lineRule="auto"/>
    </w:pPr>
  </w:style>
  <w:style w:type="paragraph" w:styleId="9">
    <w:name w:val="Title"/>
    <w:basedOn w:val="1"/>
    <w:next w:val="1"/>
    <w:qFormat/>
    <w:uiPriority w:val="99"/>
    <w:pPr>
      <w:spacing w:before="240" w:after="60"/>
      <w:jc w:val="center"/>
      <w:outlineLvl w:val="0"/>
    </w:pPr>
    <w:rPr>
      <w:rFonts w:ascii="Arial" w:hAnsi="Arial"/>
      <w:b/>
    </w:rPr>
  </w:style>
  <w:style w:type="paragraph" w:styleId="10">
    <w:name w:val="Plain Text"/>
    <w:basedOn w:val="1"/>
    <w:qFormat/>
    <w:uiPriority w:val="0"/>
    <w:rPr>
      <w:rFonts w:ascii="方正书宋_GBK" w:hAnsi="方正书宋_GBK"/>
    </w:rPr>
  </w:style>
  <w:style w:type="paragraph" w:styleId="11">
    <w:name w:val="footer"/>
    <w:basedOn w:val="1"/>
    <w:qFormat/>
    <w:uiPriority w:val="0"/>
    <w:pPr>
      <w:tabs>
        <w:tab w:val="center" w:pos="4153"/>
        <w:tab w:val="right" w:pos="8306"/>
      </w:tabs>
      <w:snapToGrid w:val="0"/>
      <w:jc w:val="left"/>
    </w:pPr>
    <w:rPr>
      <w:sz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paragraph" w:customStyle="1" w:styleId="17">
    <w:name w:val="_Style 2"/>
    <w:basedOn w:val="1"/>
    <w:qFormat/>
    <w:uiPriority w:val="0"/>
    <w:pPr>
      <w:ind w:firstLine="420" w:firstLineChars="200"/>
    </w:pPr>
    <w:rPr>
      <w:rFonts w:ascii="Times New Roman" w:hAnsi="Times New Roman" w:eastAsia="宋体" w:cs="Times New Roman"/>
    </w:rPr>
  </w:style>
  <w:style w:type="paragraph" w:customStyle="1" w:styleId="18">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NormalCharacter"/>
    <w:semiHidden/>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4181</Words>
  <Characters>4290</Characters>
  <Lines>0</Lines>
  <Paragraphs>0</Paragraphs>
  <TotalTime>1</TotalTime>
  <ScaleCrop>false</ScaleCrop>
  <LinksUpToDate>false</LinksUpToDate>
  <CharactersWithSpaces>4291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2023-06-24T16:24:00Z</dcterms:created>
  <dc:creator>Administrator</dc:creator>
  <cp:lastModifiedBy>Geneva</cp:lastModifiedBy>
  <cp:lastPrinted>2025-10-16T01:51:00Z</cp:lastPrinted>
  <dcterms:modified xsi:type="dcterms:W3CDTF">2026-09-18T07:03:06Z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8E6EC6A5716884B30995AB6AE4C78855</vt:lpwstr>
  </property>
  <property fmtid="{D5CDD505-2E9C-101B-9397-08002B2CF9AE}" pid="4" name="KSOTemplateDocerSaveRecord">
    <vt:lpwstr>eyJoZGlkIjoiNzhkNmM4Y2ZjNzBhMmU4NGUzZWY3ZTcwOGY2NGNiZGQiLCJ1c2VySWQiOiI2NzU1NjE1NTMifQ==</vt:lpwstr>
  </property>
</Properties>
</file>